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eastAsia="宋体" w:cs="宋体"/>
          <w:sz w:val="24"/>
          <w:szCs w:val="24"/>
        </w:rPr>
      </w:pPr>
      <w:r>
        <w:drawing>
          <wp:inline distT="0" distB="0" distL="114300" distR="114300">
            <wp:extent cx="5257165" cy="1040130"/>
            <wp:effectExtent l="0" t="0" r="635" b="1143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57165" cy="1040130"/>
                    </a:xfrm>
                    <a:prstGeom prst="rect">
                      <a:avLst/>
                    </a:prstGeom>
                    <a:noFill/>
                    <a:ln>
                      <a:noFill/>
                    </a:ln>
                  </pic:spPr>
                </pic:pic>
              </a:graphicData>
            </a:graphic>
          </wp:inline>
        </w:drawing>
      </w:r>
    </w:p>
    <w:p>
      <w:pPr>
        <w:rPr>
          <w:rFonts w:ascii="宋体" w:hAnsi="宋体" w:eastAsia="宋体" w:cs="宋体"/>
          <w:sz w:val="24"/>
          <w:szCs w:val="24"/>
        </w:rPr>
      </w:pPr>
    </w:p>
    <w:p>
      <w:pP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16S_basic_statistics mainly uses R (Version 4.3.1) scripts to integrate single-cell microbial detection matrix as an independent Assay into single-cell transcriptomics (Seurat) object, and perform basic statistics on specified microbial taxonomic </w:t>
      </w:r>
      <w:r>
        <w:rPr>
          <w:rFonts w:hint="eastAsia" w:ascii="Times New Roman" w:hAnsi="Times New Roman" w:eastAsia="宋体" w:cs="Times New Roman"/>
          <w:sz w:val="24"/>
          <w:szCs w:val="24"/>
          <w:lang w:val="en-US" w:eastAsia="zh-CN"/>
        </w:rPr>
        <w:t>levels</w:t>
      </w:r>
      <w:r>
        <w:rPr>
          <w:rFonts w:hint="default" w:ascii="Times New Roman" w:hAnsi="Times New Roman" w:eastAsia="宋体" w:cs="Times New Roman"/>
          <w:sz w:val="24"/>
          <w:szCs w:val="24"/>
        </w:rPr>
        <w:t xml:space="preserve"> (phylu</w:t>
      </w:r>
      <w:bookmarkStart w:id="0" w:name="_GoBack"/>
      <w:bookmarkEnd w:id="0"/>
      <w:r>
        <w:rPr>
          <w:rFonts w:hint="default" w:ascii="Times New Roman" w:hAnsi="Times New Roman" w:eastAsia="宋体" w:cs="Times New Roman"/>
          <w:sz w:val="24"/>
          <w:szCs w:val="24"/>
        </w:rPr>
        <w:t>m, class, order, family, genus, species) at global, cell type, sample or group dimensions, to obtain the total microbial UMI count, cell positive rate, relative abundance and other distribution characteristics for all microbes. After that, based on target cell populations, fisher's exact test and wilcoxon rank-sum test were performed for each microbe and inter-group comparison in terms of the number of positive cells in target cell population, the number of negative cells in target cell population, the number of positive cells in other cell populations, and the number of negative cells in other cell populations. Microbes with pvalue less than 0.05 were selected from the significance statistics as candidate core microbes for further differential expression and correlation analysis. For each selected core microbe, wilcoxon rank-sum test (logfc.threshold = 0.25) was used for differential gene expression analysis between microbe-positive (infected) and microbe-negative (uninfected) cells within the target cell population, and spearman correlation between inter-group differentially expressed genes (DEGs) and the abundance of candidate core microbes was further calculated in group-comparison mode. In the enrichment analysis, go, kegg, and reactome enrichment analyses were performed after obtaining the differential genes using clusterProfiler</w:t>
      </w:r>
      <w:r>
        <w:rPr>
          <w:rFonts w:hint="eastAsia" w:ascii="Times New Roman" w:hAnsi="Times New Roman" w:eastAsia="宋体" w:cs="Times New Roman"/>
          <w:sz w:val="24"/>
          <w:szCs w:val="24"/>
          <w:lang w:val="en-US" w:eastAsia="zh-CN"/>
        </w:rPr>
        <w:t xml:space="preserve"> </w:t>
      </w:r>
      <w:r>
        <w:rPr>
          <w:rFonts w:ascii="Times New Roman" w:hAnsi="Times New Roman" w:cs="Times New Roman"/>
          <w:sz w:val="24"/>
          <w:szCs w:val="24"/>
        </w:rPr>
        <w:t>(Version 4.12.6)</w:t>
      </w:r>
      <w:r>
        <w:rPr>
          <w:rFonts w:hint="default" w:ascii="Times New Roman" w:hAnsi="Times New Roman" w:eastAsia="宋体" w:cs="Times New Roman"/>
          <w:sz w:val="24"/>
          <w:szCs w:val="24"/>
        </w:rPr>
        <w:t xml:space="preserve"> package.</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2MTVjZTcyZTEwYjQwNTM4MzMzNzBlNmE3MmEyOTgifQ=="/>
  </w:docVars>
  <w:rsids>
    <w:rsidRoot w:val="00000000"/>
    <w:rsid w:val="327E4A3A"/>
    <w:rsid w:val="4A4060F4"/>
    <w:rsid w:val="52F25D4B"/>
    <w:rsid w:val="540604D5"/>
    <w:rsid w:val="56B97198"/>
    <w:rsid w:val="68217D0E"/>
    <w:rsid w:val="762D1373"/>
    <w:rsid w:val="78CC6C21"/>
    <w:rsid w:val="7EBD1E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2026-09-18T08:09:00Z</dcterms:created>
  <dc:creator>fsy</dc:creator>
  <cp:lastModifiedBy>晨星</cp:lastModifiedBy>
  <dcterms:modified xsi:type="dcterms:W3CDTF">2026-09-20T07:14:45Z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F2E672D868674C89B70070BCE80751E0_12</vt:lpwstr>
  </property>
</Properties>
</file>