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FC116" w14:textId="066463A0" w:rsidR="009E081F" w:rsidRDefault="009E081F" w:rsidP="006202FF">
      <w:pPr>
        <w:pStyle w:val="a3"/>
        <w:spacing w:after="0"/>
        <w:rPr>
          <w:rFonts w:ascii="宋体" w:eastAsia="宋体" w:hAnsi="宋体" w:cs="宋体"/>
        </w:rPr>
      </w:pPr>
      <w:r w:rsidRPr="009E081F">
        <w:rPr>
          <w:rFonts w:ascii="宋体" w:eastAsia="宋体" w:hAnsi="宋体" w:cs="宋体"/>
        </w:rPr>
        <w:drawing>
          <wp:inline distT="0" distB="0" distL="0" distR="0" wp14:anchorId="544EB323" wp14:editId="033BE32B">
            <wp:extent cx="4922520" cy="1441450"/>
            <wp:effectExtent l="0" t="0" r="0" b="6350"/>
            <wp:docPr id="15410890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0890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CE95B" w14:textId="78933832" w:rsidR="006202FF" w:rsidRPr="006202FF" w:rsidRDefault="006202FF" w:rsidP="006202FF">
      <w:pPr>
        <w:pStyle w:val="a3"/>
        <w:spacing w:after="0"/>
        <w:rPr>
          <w:rFonts w:ascii="宋体" w:eastAsia="宋体" w:hAnsi="宋体" w:cs="宋体"/>
        </w:rPr>
      </w:pPr>
      <w:r w:rsidRPr="006202FF">
        <w:rPr>
          <w:rFonts w:ascii="宋体" w:eastAsia="宋体" w:hAnsi="宋体" w:cs="宋体"/>
        </w:rPr>
        <w:t xml:space="preserve">SCENIC+ regulatory network inference. To reconstruct transcription factor (TF)–mediated gene regulatory networks from single-cell </w:t>
      </w:r>
      <w:proofErr w:type="spellStart"/>
      <w:r w:rsidRPr="006202FF">
        <w:rPr>
          <w:rFonts w:ascii="宋体" w:eastAsia="宋体" w:hAnsi="宋体" w:cs="宋体"/>
        </w:rPr>
        <w:t>multiomic</w:t>
      </w:r>
      <w:proofErr w:type="spellEnd"/>
      <w:r w:rsidRPr="006202FF">
        <w:rPr>
          <w:rFonts w:ascii="宋体" w:eastAsia="宋体" w:hAnsi="宋体" w:cs="宋体"/>
        </w:rPr>
        <w:t xml:space="preserve"> data (</w:t>
      </w:r>
      <w:proofErr w:type="spellStart"/>
      <w:r w:rsidRPr="006202FF">
        <w:rPr>
          <w:rFonts w:ascii="宋体" w:eastAsia="宋体" w:hAnsi="宋体" w:cs="宋体"/>
        </w:rPr>
        <w:t>scRNA</w:t>
      </w:r>
      <w:proofErr w:type="spellEnd"/>
      <w:r w:rsidRPr="006202FF">
        <w:rPr>
          <w:rFonts w:ascii="宋体" w:eastAsia="宋体" w:hAnsi="宋体" w:cs="宋体"/>
        </w:rPr>
        <w:t xml:space="preserve">-seq + </w:t>
      </w:r>
      <w:proofErr w:type="spellStart"/>
      <w:r w:rsidRPr="006202FF">
        <w:rPr>
          <w:rFonts w:ascii="宋体" w:eastAsia="宋体" w:hAnsi="宋体" w:cs="宋体"/>
        </w:rPr>
        <w:t>scATAC</w:t>
      </w:r>
      <w:proofErr w:type="spellEnd"/>
      <w:r w:rsidRPr="006202FF">
        <w:rPr>
          <w:rFonts w:ascii="宋体" w:eastAsia="宋体" w:hAnsi="宋体" w:cs="宋体"/>
        </w:rPr>
        <w:t xml:space="preserve">-seq), regulatory network inference was performed using SCENIC+ [1]. The analysis was conducted in four sequential steps. First, ATAC peak counts were subjected to latent Dirichlet allocation (LDA) topic modeling via </w:t>
      </w:r>
      <w:proofErr w:type="spellStart"/>
      <w:r w:rsidRPr="006202FF">
        <w:rPr>
          <w:rFonts w:ascii="宋体" w:eastAsia="宋体" w:hAnsi="宋体" w:cs="宋体"/>
        </w:rPr>
        <w:t>pycisTopic</w:t>
      </w:r>
      <w:proofErr w:type="spellEnd"/>
      <w:r w:rsidRPr="006202FF">
        <w:rPr>
          <w:rFonts w:ascii="宋体" w:eastAsia="宋体" w:hAnsi="宋体" w:cs="宋体"/>
        </w:rPr>
        <w:t xml:space="preserve"> [2] to identify co-accessible regulatory modules and define consensus regions. Second, a custom </w:t>
      </w:r>
      <w:proofErr w:type="spellStart"/>
      <w:r w:rsidRPr="006202FF">
        <w:rPr>
          <w:rFonts w:ascii="宋体" w:eastAsia="宋体" w:hAnsi="宋体" w:cs="宋体"/>
        </w:rPr>
        <w:t>cisTarget</w:t>
      </w:r>
      <w:proofErr w:type="spellEnd"/>
      <w:r w:rsidRPr="006202FF">
        <w:rPr>
          <w:rFonts w:ascii="宋体" w:eastAsia="宋体" w:hAnsi="宋体" w:cs="宋体"/>
        </w:rPr>
        <w:t xml:space="preserve"> motif scoring database was constructed by scanning consensus regions with the Cluster Buster motif scanner against the species-specific motif collection, generating motif enrichment rankings and scores. Third, the SCENIC+ pipeline integrated RNA expression data (for TF–gene co-expression inference) and ATAC accessibility data (for motif enrichment and chromatin accessibility constraints) to infer TF–cis-regulatory element–target gene relationships, producing extended regulons (</w:t>
      </w:r>
      <w:proofErr w:type="spellStart"/>
      <w:r w:rsidRPr="006202FF">
        <w:rPr>
          <w:rFonts w:ascii="宋体" w:eastAsia="宋体" w:hAnsi="宋体" w:cs="宋体"/>
        </w:rPr>
        <w:t>eRegulons</w:t>
      </w:r>
      <w:proofErr w:type="spellEnd"/>
      <w:r w:rsidRPr="006202FF">
        <w:rPr>
          <w:rFonts w:ascii="宋体" w:eastAsia="宋体" w:hAnsi="宋体" w:cs="宋体"/>
        </w:rPr>
        <w:t xml:space="preserve">) annotated with activation/repression directionality. Fourth, </w:t>
      </w:r>
      <w:proofErr w:type="spellStart"/>
      <w:r w:rsidRPr="006202FF">
        <w:rPr>
          <w:rFonts w:ascii="宋体" w:eastAsia="宋体" w:hAnsi="宋体" w:cs="宋体"/>
        </w:rPr>
        <w:t>AUCell</w:t>
      </w:r>
      <w:proofErr w:type="spellEnd"/>
      <w:r w:rsidRPr="006202FF">
        <w:rPr>
          <w:rFonts w:ascii="宋体" w:eastAsia="宋体" w:hAnsi="宋体" w:cs="宋体"/>
        </w:rPr>
        <w:t xml:space="preserve"> was used to compute per-cell activity scores (AUC) for each </w:t>
      </w:r>
      <w:proofErr w:type="spellStart"/>
      <w:r w:rsidRPr="006202FF">
        <w:rPr>
          <w:rFonts w:ascii="宋体" w:eastAsia="宋体" w:hAnsi="宋体" w:cs="宋体"/>
        </w:rPr>
        <w:t>eRegulon</w:t>
      </w:r>
      <w:proofErr w:type="spellEnd"/>
      <w:r w:rsidRPr="006202FF">
        <w:rPr>
          <w:rFonts w:ascii="宋体" w:eastAsia="宋体" w:hAnsi="宋体" w:cs="宋体"/>
        </w:rPr>
        <w:t xml:space="preserve"> based on its target gene set and associated cis-regulatory regions.</w:t>
      </w:r>
    </w:p>
    <w:p w14:paraId="4FE10101" w14:textId="77777777" w:rsidR="006202FF" w:rsidRPr="006202FF" w:rsidRDefault="006202FF" w:rsidP="006202FF">
      <w:pPr>
        <w:pStyle w:val="a3"/>
        <w:spacing w:after="0"/>
        <w:rPr>
          <w:rFonts w:ascii="宋体" w:eastAsia="宋体" w:hAnsi="宋体" w:cs="宋体"/>
        </w:rPr>
      </w:pPr>
    </w:p>
    <w:p w14:paraId="05F05F01" w14:textId="06A58378" w:rsidR="006202FF" w:rsidRPr="006202FF" w:rsidRDefault="006202FF" w:rsidP="006202FF">
      <w:pPr>
        <w:pStyle w:val="a3"/>
        <w:spacing w:after="0"/>
        <w:rPr>
          <w:rFonts w:ascii="宋体" w:eastAsia="宋体" w:hAnsi="宋体" w:cs="宋体"/>
        </w:rPr>
      </w:pPr>
      <w:proofErr w:type="spellStart"/>
      <w:r w:rsidRPr="006202FF">
        <w:rPr>
          <w:rFonts w:ascii="宋体" w:eastAsia="宋体" w:hAnsi="宋体" w:cs="宋体"/>
        </w:rPr>
        <w:t>eRegulon</w:t>
      </w:r>
      <w:proofErr w:type="spellEnd"/>
      <w:r w:rsidRPr="006202FF">
        <w:rPr>
          <w:rFonts w:ascii="宋体" w:eastAsia="宋体" w:hAnsi="宋体" w:cs="宋体"/>
        </w:rPr>
        <w:t xml:space="preserve"> quality filtering and regulon specificity scoring. To ensure high-confidence regulatory connections, </w:t>
      </w:r>
      <w:proofErr w:type="spellStart"/>
      <w:r w:rsidRPr="006202FF">
        <w:rPr>
          <w:rFonts w:ascii="宋体" w:eastAsia="宋体" w:hAnsi="宋体" w:cs="宋体"/>
        </w:rPr>
        <w:t>eRegulons</w:t>
      </w:r>
      <w:proofErr w:type="spellEnd"/>
      <w:r w:rsidRPr="006202FF">
        <w:rPr>
          <w:rFonts w:ascii="宋体" w:eastAsia="宋体" w:hAnsi="宋体" w:cs="宋体"/>
        </w:rPr>
        <w:t xml:space="preserve"> were filtered using three criteria: (</w:t>
      </w:r>
      <w:proofErr w:type="spellStart"/>
      <w:r w:rsidRPr="006202FF">
        <w:rPr>
          <w:rFonts w:ascii="宋体" w:eastAsia="宋体" w:hAnsi="宋体" w:cs="宋体"/>
        </w:rPr>
        <w:t>i</w:t>
      </w:r>
      <w:proofErr w:type="spellEnd"/>
      <w:r w:rsidRPr="006202FF">
        <w:rPr>
          <w:rFonts w:ascii="宋体" w:eastAsia="宋体" w:hAnsi="宋体" w:cs="宋体"/>
        </w:rPr>
        <w:t xml:space="preserve">) the absolute Pearson correlation between TF expression and </w:t>
      </w:r>
      <w:proofErr w:type="spellStart"/>
      <w:r w:rsidRPr="006202FF">
        <w:rPr>
          <w:rFonts w:ascii="宋体" w:eastAsia="宋体" w:hAnsi="宋体" w:cs="宋体"/>
        </w:rPr>
        <w:t>eRegulon</w:t>
      </w:r>
      <w:proofErr w:type="spellEnd"/>
      <w:r w:rsidRPr="006202FF">
        <w:rPr>
          <w:rFonts w:ascii="宋体" w:eastAsia="宋体" w:hAnsi="宋体" w:cs="宋体"/>
        </w:rPr>
        <w:t xml:space="preserve"> AUC score exceeding</w:t>
      </w:r>
      <w:r w:rsidR="009E081F">
        <w:rPr>
          <w:rFonts w:ascii="宋体" w:eastAsia="宋体" w:hAnsi="宋体" w:cs="宋体" w:hint="eastAsia"/>
          <w:color w:val="EE0000"/>
        </w:rPr>
        <w:t>【</w:t>
      </w:r>
      <w:proofErr w:type="spellStart"/>
      <w:r w:rsidR="009E081F" w:rsidRPr="009E081F">
        <w:rPr>
          <w:rFonts w:ascii="宋体" w:eastAsia="宋体" w:hAnsi="宋体" w:cs="宋体"/>
          <w:color w:val="EE0000"/>
        </w:rPr>
        <w:t>TF_eRegulon_cor</w:t>
      </w:r>
      <w:proofErr w:type="spellEnd"/>
      <w:r w:rsidR="009E081F">
        <w:rPr>
          <w:rFonts w:ascii="宋体" w:eastAsia="宋体" w:hAnsi="宋体" w:cs="宋体" w:hint="eastAsia"/>
          <w:color w:val="EE0000"/>
        </w:rPr>
        <w:t>】</w:t>
      </w:r>
      <w:r w:rsidRPr="006202FF">
        <w:rPr>
          <w:rFonts w:ascii="宋体" w:eastAsia="宋体" w:hAnsi="宋体" w:cs="宋体"/>
        </w:rPr>
        <w:t xml:space="preserve">; (ii) the Pearson correlation between gene-based and region-based AUC scores exceeding </w:t>
      </w:r>
      <w:r w:rsidR="009E081F">
        <w:rPr>
          <w:rFonts w:ascii="宋体" w:eastAsia="宋体" w:hAnsi="宋体" w:cs="宋体" w:hint="eastAsia"/>
          <w:color w:val="EE0000"/>
        </w:rPr>
        <w:t>【</w:t>
      </w:r>
      <w:proofErr w:type="spellStart"/>
      <w:r w:rsidR="009E081F" w:rsidRPr="009E081F">
        <w:rPr>
          <w:rFonts w:ascii="宋体" w:eastAsia="宋体" w:hAnsi="宋体" w:cs="宋体"/>
          <w:color w:val="EE0000"/>
        </w:rPr>
        <w:t>AUC_Genebased_Regionbased_cor</w:t>
      </w:r>
      <w:proofErr w:type="spellEnd"/>
      <w:r w:rsidR="009E081F">
        <w:rPr>
          <w:rFonts w:ascii="宋体" w:eastAsia="宋体" w:hAnsi="宋体" w:cs="宋体" w:hint="eastAsia"/>
          <w:color w:val="EE0000"/>
        </w:rPr>
        <w:t>】</w:t>
      </w:r>
      <w:r w:rsidRPr="006202FF">
        <w:rPr>
          <w:rFonts w:ascii="宋体" w:eastAsia="宋体" w:hAnsi="宋体" w:cs="宋体"/>
        </w:rPr>
        <w:t xml:space="preserve">, confirming consistency across RNA and ATAC modalities; and (iii) a minimum of </w:t>
      </w:r>
      <w:r w:rsidR="009E081F">
        <w:rPr>
          <w:rFonts w:ascii="宋体" w:eastAsia="宋体" w:hAnsi="宋体" w:cs="宋体" w:hint="eastAsia"/>
          <w:color w:val="EE0000"/>
        </w:rPr>
        <w:t>【</w:t>
      </w:r>
      <w:proofErr w:type="spellStart"/>
      <w:r w:rsidR="009E081F" w:rsidRPr="009E081F">
        <w:rPr>
          <w:rFonts w:ascii="宋体" w:eastAsia="宋体" w:hAnsi="宋体" w:cs="宋体"/>
          <w:color w:val="EE0000"/>
        </w:rPr>
        <w:t>min_target_genes</w:t>
      </w:r>
      <w:proofErr w:type="spellEnd"/>
      <w:r w:rsidR="009E081F">
        <w:rPr>
          <w:rFonts w:ascii="宋体" w:eastAsia="宋体" w:hAnsi="宋体" w:cs="宋体" w:hint="eastAsia"/>
          <w:color w:val="EE0000"/>
        </w:rPr>
        <w:t>】</w:t>
      </w:r>
      <w:r w:rsidRPr="006202FF">
        <w:rPr>
          <w:rFonts w:ascii="宋体" w:eastAsia="宋体" w:hAnsi="宋体" w:cs="宋体"/>
        </w:rPr>
        <w:t xml:space="preserve">target genes per </w:t>
      </w:r>
      <w:proofErr w:type="spellStart"/>
      <w:r w:rsidRPr="006202FF">
        <w:rPr>
          <w:rFonts w:ascii="宋体" w:eastAsia="宋体" w:hAnsi="宋体" w:cs="宋体"/>
        </w:rPr>
        <w:t>eRegulon</w:t>
      </w:r>
      <w:proofErr w:type="spellEnd"/>
      <w:r w:rsidRPr="006202FF">
        <w:rPr>
          <w:rFonts w:ascii="宋体" w:eastAsia="宋体" w:hAnsi="宋体" w:cs="宋体"/>
        </w:rPr>
        <w:t xml:space="preserve">. For each retained </w:t>
      </w:r>
      <w:proofErr w:type="spellStart"/>
      <w:r w:rsidRPr="006202FF">
        <w:rPr>
          <w:rFonts w:ascii="宋体" w:eastAsia="宋体" w:hAnsi="宋体" w:cs="宋体"/>
        </w:rPr>
        <w:t>eRegulon</w:t>
      </w:r>
      <w:proofErr w:type="spellEnd"/>
      <w:r w:rsidRPr="006202FF">
        <w:rPr>
          <w:rFonts w:ascii="宋体" w:eastAsia="宋体" w:hAnsi="宋体" w:cs="宋体"/>
        </w:rPr>
        <w:t xml:space="preserve">, regulon specificity scores (RSS) were computed across cell types to identify cell-type-specific regulatory programs. RSS quantifies the degree to which an </w:t>
      </w:r>
      <w:proofErr w:type="spellStart"/>
      <w:r w:rsidRPr="006202FF">
        <w:rPr>
          <w:rFonts w:ascii="宋体" w:eastAsia="宋体" w:hAnsi="宋体" w:cs="宋体"/>
        </w:rPr>
        <w:t>eRegulon's</w:t>
      </w:r>
      <w:proofErr w:type="spellEnd"/>
      <w:r w:rsidRPr="006202FF">
        <w:rPr>
          <w:rFonts w:ascii="宋体" w:eastAsia="宋体" w:hAnsi="宋体" w:cs="宋体"/>
        </w:rPr>
        <w:t xml:space="preserve"> activity is enriched in a </w:t>
      </w:r>
      <w:r w:rsidRPr="006202FF">
        <w:rPr>
          <w:rFonts w:ascii="宋体" w:eastAsia="宋体" w:hAnsi="宋体" w:cs="宋体"/>
        </w:rPr>
        <w:lastRenderedPageBreak/>
        <w:t>given cell type relative to all others.</w:t>
      </w:r>
    </w:p>
    <w:p w14:paraId="71796275" w14:textId="77777777" w:rsidR="006202FF" w:rsidRPr="006202FF" w:rsidRDefault="006202FF" w:rsidP="006202FF">
      <w:pPr>
        <w:pStyle w:val="a3"/>
        <w:spacing w:after="0"/>
        <w:rPr>
          <w:rFonts w:ascii="宋体" w:eastAsia="宋体" w:hAnsi="宋体" w:cs="宋体"/>
        </w:rPr>
      </w:pPr>
    </w:p>
    <w:p w14:paraId="58C30C14" w14:textId="77777777" w:rsidR="006202FF" w:rsidRPr="006202FF" w:rsidRDefault="006202FF" w:rsidP="006202FF">
      <w:pPr>
        <w:pStyle w:val="a3"/>
        <w:spacing w:after="0"/>
        <w:rPr>
          <w:rFonts w:ascii="宋体" w:eastAsia="宋体" w:hAnsi="宋体" w:cs="宋体"/>
        </w:rPr>
      </w:pPr>
      <w:r w:rsidRPr="006202FF">
        <w:rPr>
          <w:rFonts w:ascii="宋体" w:eastAsia="宋体" w:hAnsi="宋体" w:cs="宋体"/>
        </w:rPr>
        <w:t>References</w:t>
      </w:r>
    </w:p>
    <w:p w14:paraId="4DB3328E" w14:textId="77777777" w:rsidR="006202FF" w:rsidRPr="006202FF" w:rsidRDefault="006202FF" w:rsidP="006202FF">
      <w:pPr>
        <w:pStyle w:val="a3"/>
        <w:spacing w:after="0"/>
        <w:rPr>
          <w:rFonts w:ascii="宋体" w:eastAsia="宋体" w:hAnsi="宋体" w:cs="宋体"/>
        </w:rPr>
      </w:pPr>
      <w:r w:rsidRPr="006202FF">
        <w:rPr>
          <w:rFonts w:ascii="宋体" w:eastAsia="宋体" w:hAnsi="宋体" w:cs="宋体"/>
        </w:rPr>
        <w:t xml:space="preserve">[1] van de Sande B, Fanti VL, Huynh-Thu VA, et al. SCENIC+: single-cell </w:t>
      </w:r>
      <w:proofErr w:type="spellStart"/>
      <w:r w:rsidRPr="006202FF">
        <w:rPr>
          <w:rFonts w:ascii="宋体" w:eastAsia="宋体" w:hAnsi="宋体" w:cs="宋体"/>
        </w:rPr>
        <w:t>multiomic</w:t>
      </w:r>
      <w:proofErr w:type="spellEnd"/>
      <w:r w:rsidRPr="006202FF">
        <w:rPr>
          <w:rFonts w:ascii="宋体" w:eastAsia="宋体" w:hAnsi="宋体" w:cs="宋体"/>
        </w:rPr>
        <w:t xml:space="preserve"> inference of enhancers and gene regulatory networks. Nature Methods, 2023, 20(8): 1154-1164.</w:t>
      </w:r>
    </w:p>
    <w:p w14:paraId="6EA762E0" w14:textId="77777777" w:rsidR="006202FF" w:rsidRPr="006202FF" w:rsidRDefault="006202FF" w:rsidP="006202FF">
      <w:pPr>
        <w:pStyle w:val="a3"/>
        <w:spacing w:after="0"/>
        <w:rPr>
          <w:rFonts w:ascii="宋体" w:eastAsia="宋体" w:hAnsi="宋体" w:cs="宋体"/>
        </w:rPr>
      </w:pPr>
      <w:r w:rsidRPr="006202FF">
        <w:rPr>
          <w:rFonts w:ascii="宋体" w:eastAsia="宋体" w:hAnsi="宋体" w:cs="宋体"/>
        </w:rPr>
        <w:t xml:space="preserve">[2] Bravo Gonzalez-Blas C, </w:t>
      </w:r>
      <w:proofErr w:type="spellStart"/>
      <w:r w:rsidRPr="006202FF">
        <w:rPr>
          <w:rFonts w:ascii="宋体" w:eastAsia="宋体" w:hAnsi="宋体" w:cs="宋体"/>
        </w:rPr>
        <w:t>Minnoye</w:t>
      </w:r>
      <w:proofErr w:type="spellEnd"/>
      <w:r w:rsidRPr="006202FF">
        <w:rPr>
          <w:rFonts w:ascii="宋体" w:eastAsia="宋体" w:hAnsi="宋体" w:cs="宋体"/>
        </w:rPr>
        <w:t xml:space="preserve"> I, </w:t>
      </w:r>
      <w:proofErr w:type="spellStart"/>
      <w:r w:rsidRPr="006202FF">
        <w:rPr>
          <w:rFonts w:ascii="宋体" w:eastAsia="宋体" w:hAnsi="宋体" w:cs="宋体"/>
        </w:rPr>
        <w:t>Papasokrati</w:t>
      </w:r>
      <w:proofErr w:type="spellEnd"/>
      <w:r w:rsidRPr="006202FF">
        <w:rPr>
          <w:rFonts w:ascii="宋体" w:eastAsia="宋体" w:hAnsi="宋体" w:cs="宋体"/>
        </w:rPr>
        <w:t xml:space="preserve"> D, et al. </w:t>
      </w:r>
      <w:proofErr w:type="spellStart"/>
      <w:r w:rsidRPr="006202FF">
        <w:rPr>
          <w:rFonts w:ascii="宋体" w:eastAsia="宋体" w:hAnsi="宋体" w:cs="宋体"/>
        </w:rPr>
        <w:t>cisTarget</w:t>
      </w:r>
      <w:proofErr w:type="spellEnd"/>
      <w:r w:rsidRPr="006202FF">
        <w:rPr>
          <w:rFonts w:ascii="宋体" w:eastAsia="宋体" w:hAnsi="宋体" w:cs="宋体"/>
        </w:rPr>
        <w:t>: performing cis-regulatory motifs identification. Nature Methods, 2019.</w:t>
      </w:r>
    </w:p>
    <w:p w14:paraId="26891DCB" w14:textId="77777777" w:rsidR="006202FF" w:rsidRPr="006202FF" w:rsidRDefault="006202FF" w:rsidP="006202FF">
      <w:pPr>
        <w:pStyle w:val="a3"/>
        <w:spacing w:after="0"/>
        <w:rPr>
          <w:rFonts w:ascii="宋体" w:eastAsia="宋体" w:hAnsi="宋体" w:cs="宋体"/>
        </w:rPr>
      </w:pPr>
    </w:p>
    <w:sectPr w:rsidR="006202FF" w:rsidRPr="006202FF" w:rsidSect="006202FF">
      <w:pgSz w:w="11906" w:h="16838"/>
      <w:pgMar w:top="1440" w:right="2077" w:bottom="1440" w:left="2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A4848" w14:textId="77777777" w:rsidR="00D33CE7" w:rsidRDefault="00D33CE7" w:rsidP="009E081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E82F7FE" w14:textId="77777777" w:rsidR="00D33CE7" w:rsidRDefault="00D33CE7" w:rsidP="009E081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84766" w14:textId="77777777" w:rsidR="00D33CE7" w:rsidRDefault="00D33CE7" w:rsidP="009E081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E95D22A" w14:textId="77777777" w:rsidR="00D33CE7" w:rsidRDefault="00D33CE7" w:rsidP="009E081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2FF"/>
    <w:rsid w:val="003F66F5"/>
    <w:rsid w:val="006202FF"/>
    <w:rsid w:val="006E74C5"/>
    <w:rsid w:val="008E5F08"/>
    <w:rsid w:val="009E081F"/>
    <w:rsid w:val="00D3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E06AF"/>
  <w15:chartTrackingRefBased/>
  <w15:docId w15:val="{021B15CD-A4A7-4AE7-A4A7-EDFD2765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F0E93"/>
    <w:rPr>
      <w:rFonts w:asciiTheme="minorEastAsia" w:hAnsi="Courier New" w:cs="Courier New"/>
    </w:rPr>
  </w:style>
  <w:style w:type="character" w:customStyle="1" w:styleId="a4">
    <w:name w:val="纯文本 字符"/>
    <w:basedOn w:val="a0"/>
    <w:link w:val="a3"/>
    <w:uiPriority w:val="99"/>
    <w:rsid w:val="006F0E93"/>
    <w:rPr>
      <w:rFonts w:asciiTheme="minorEastAsia" w:hAnsi="Courier New" w:cs="Courier New"/>
    </w:rPr>
  </w:style>
  <w:style w:type="paragraph" w:styleId="a5">
    <w:name w:val="header"/>
    <w:basedOn w:val="a"/>
    <w:link w:val="a6"/>
    <w:uiPriority w:val="99"/>
    <w:unhideWhenUsed/>
    <w:rsid w:val="009E081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E081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E081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E08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1992</Characters>
  <Application>Microsoft Office Word</Application>
  <DocSecurity>0</DocSecurity>
  <Lines>39</Lines>
  <Paragraphs>5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一君</dc:creator>
  <cp:keywords/>
  <dc:description/>
  <cp:lastModifiedBy>郭 一君</cp:lastModifiedBy>
  <cp:revision>2</cp:revision>
  <dcterms:created xsi:type="dcterms:W3CDTF">2026-07-10T07:10:00Z</dcterms:created>
  <dcterms:modified xsi:type="dcterms:W3CDTF">2026-07-10T07:10:00Z</dcterms:modified>
</cp:coreProperties>
</file>