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53A2" w14:textId="77777777" w:rsidR="00377965" w:rsidRPr="0025564F" w:rsidRDefault="00000000" w:rsidP="002019F5">
      <w:pPr>
        <w:widowControl/>
        <w:adjustRightInd w:val="0"/>
        <w:spacing w:after="240" w:line="360" w:lineRule="auto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</w:pPr>
      <w:r w:rsidRPr="0025564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  <w:t xml:space="preserve">Processing the single cell RNA sequencing data </w:t>
      </w:r>
    </w:p>
    <w:p w14:paraId="5E6A5D7E" w14:textId="51164EDD" w:rsidR="00377965" w:rsidRPr="0025564F" w:rsidRDefault="00000000" w:rsidP="002019F5">
      <w:pPr>
        <w:widowControl/>
        <w:adjustRightInd w:val="0"/>
        <w:spacing w:after="240" w:line="360" w:lineRule="auto"/>
        <w:rPr>
          <w:rFonts w:ascii="Times New Roman" w:eastAsia="宋体" w:hAnsi="Times New Roman" w:cs="Times New Roman"/>
          <w:color w:val="262626"/>
          <w:kern w:val="0"/>
          <w:sz w:val="24"/>
        </w:rPr>
      </w:pPr>
      <w:r w:rsidRPr="0025564F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The raw sequencing data was </w:t>
      </w:r>
      <w:proofErr w:type="spellStart"/>
      <w:r w:rsidRPr="0025564F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precessed</w:t>
      </w:r>
      <w:proofErr w:type="spellEnd"/>
      <w:r w:rsidRPr="0025564F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by </w:t>
      </w:r>
      <w:proofErr w:type="spellStart"/>
      <w:proofErr w:type="gramStart"/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>Fastp</w:t>
      </w:r>
      <w:proofErr w:type="spellEnd"/>
      <w:r w:rsidR="00B76DFE" w:rsidRPr="005E1BE4">
        <w:rPr>
          <w:rFonts w:ascii="Times New Roman" w:eastAsia="宋体" w:hAnsi="Times New Roman" w:cs="Times New Roman" w:hint="eastAsia"/>
          <w:color w:val="000000"/>
          <w:kern w:val="0"/>
          <w:sz w:val="24"/>
          <w:vertAlign w:val="superscript"/>
        </w:rPr>
        <w:t>[</w:t>
      </w:r>
      <w:proofErr w:type="gramEnd"/>
      <w:r w:rsidR="00B76DFE" w:rsidRPr="005E1BE4">
        <w:rPr>
          <w:rFonts w:ascii="Times New Roman" w:eastAsia="宋体" w:hAnsi="Times New Roman" w:cs="Times New Roman" w:hint="eastAsia"/>
          <w:color w:val="000000"/>
          <w:kern w:val="0"/>
          <w:sz w:val="24"/>
          <w:vertAlign w:val="superscript"/>
        </w:rPr>
        <w:t>1]</w:t>
      </w:r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(Chen, Zhou et al. 2018)</w:t>
      </w:r>
      <w:r w:rsidR="00B76DFE" w:rsidRPr="00B76DFE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="00B76DFE"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>firstly</w:t>
      </w:r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to trim primer sequence and </w:t>
      </w:r>
      <w:proofErr w:type="gramStart"/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>low quality</w:t>
      </w:r>
      <w:proofErr w:type="gramEnd"/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bases. And then we used </w:t>
      </w:r>
      <w:proofErr w:type="spellStart"/>
      <w:r w:rsidRPr="001518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highlight w:val="yellow"/>
        </w:rPr>
        <w:t>SeekSoul</w:t>
      </w:r>
      <w:proofErr w:type="spellEnd"/>
      <w:r w:rsidRPr="001518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highlight w:val="yellow"/>
        </w:rPr>
        <w:t xml:space="preserve"> Tools V</w:t>
      </w:r>
      <w:r w:rsidR="004216A9" w:rsidRPr="0015188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highlight w:val="yellow"/>
        </w:rPr>
        <w:t>XXX</w:t>
      </w:r>
      <w:r w:rsidRPr="0025564F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to </w:t>
      </w:r>
      <w:proofErr w:type="spellStart"/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>precess</w:t>
      </w:r>
      <w:proofErr w:type="spellEnd"/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sequence data</w:t>
      </w:r>
      <w:r w:rsidR="005567CE">
        <w:rPr>
          <w:rFonts w:ascii="Times New Roman" w:eastAsia="宋体" w:hAnsi="Times New Roman" w:cs="Times New Roman" w:hint="eastAsia"/>
          <w:color w:val="262626"/>
          <w:kern w:val="0"/>
          <w:sz w:val="24"/>
        </w:rPr>
        <w:t>,</w:t>
      </w:r>
      <w:r w:rsidR="004D1A4E">
        <w:rPr>
          <w:rFonts w:ascii="Times New Roman" w:eastAsia="宋体" w:hAnsi="Times New Roman" w:cs="Times New Roman" w:hint="eastAsia"/>
          <w:color w:val="262626"/>
          <w:kern w:val="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cell barcode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demultiplexing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and aligned to </w:t>
      </w:r>
      <w:r w:rsidRPr="00CD4E39">
        <w:rPr>
          <w:rFonts w:ascii="Times New Roman" w:eastAsia="宋体" w:hAnsi="Times New Roman" w:cs="Times New Roman"/>
          <w:color w:val="262626"/>
          <w:kern w:val="0"/>
          <w:sz w:val="24"/>
          <w:highlight w:val="yellow"/>
        </w:rPr>
        <w:t>human GRCh38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 in order to obtain gene expression matrix. We used Seurat (</w:t>
      </w:r>
      <w:r w:rsidRPr="0025564F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version 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4.0.0) to filter low quality cells, cells with number of detected genes &lt;200 or &gt;5000 were omitted, and use MAD variance </w:t>
      </w:r>
      <w:proofErr w:type="gramStart"/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>normal</w:t>
      </w:r>
      <w:r w:rsidR="00201306" w:rsidRPr="00201306">
        <w:rPr>
          <w:rFonts w:ascii="Times New Roman" w:eastAsia="宋体" w:hAnsi="Times New Roman" w:cs="Times New Roman" w:hint="eastAsia"/>
          <w:color w:val="262626"/>
          <w:kern w:val="0"/>
          <w:sz w:val="24"/>
          <w:vertAlign w:val="superscript"/>
        </w:rPr>
        <w:t>[2]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>(</w:t>
      </w:r>
      <w:proofErr w:type="gramEnd"/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 xml:space="preserve">Pijuan et al., 2019) to remove cells affected by mitochondrial genes. And the remaining cells were used for the following analysis to create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Seurat assay object.</w:t>
      </w:r>
    </w:p>
    <w:p w14:paraId="31919D57" w14:textId="79C29B42" w:rsidR="00377965" w:rsidRPr="0025564F" w:rsidRDefault="00000000" w:rsidP="002019F5">
      <w:pPr>
        <w:widowControl/>
        <w:adjustRightInd w:val="0"/>
        <w:spacing w:after="240"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25564F">
        <w:rPr>
          <w:rFonts w:ascii="Times New Roman" w:eastAsia="宋体" w:hAnsi="Times New Roman" w:cs="Times New Roman"/>
          <w:bCs/>
          <w:color w:val="000000"/>
          <w:sz w:val="24"/>
        </w:rPr>
        <w:t>While for</w:t>
      </w:r>
      <w:r w:rsidRPr="0025564F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microbial analysis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，</w:t>
      </w:r>
      <w:r w:rsidRPr="0025564F">
        <w:rPr>
          <w:rFonts w:ascii="Times New Roman" w:eastAsia="宋体" w:hAnsi="Times New Roman" w:cs="Times New Roman"/>
          <w:color w:val="262626"/>
          <w:kern w:val="0"/>
          <w:sz w:val="24"/>
        </w:rPr>
        <w:t>a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fter demultiplexing using </w:t>
      </w:r>
      <w:proofErr w:type="spellStart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Seeksoul</w:t>
      </w:r>
      <w:proofErr w:type="spellEnd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 Tools, the generated Read2 files were converted to BAM format using Picard</w:t>
      </w:r>
      <w:r w:rsidR="002F3622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(</w:t>
      </w:r>
      <w:r w:rsidR="002F3622" w:rsidRPr="002F3622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version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2.2.1). Subsequently, we utilized the </w:t>
      </w:r>
      <w:proofErr w:type="spellStart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Pysam</w:t>
      </w:r>
      <w:proofErr w:type="spellEnd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 to read the BAM files and remove duplicate reads. Specifically, for reads sharing the same barcode and unique molecular identifier (UMI), we retained only the read with the highest frequency.</w:t>
      </w:r>
    </w:p>
    <w:p w14:paraId="3A4DE208" w14:textId="4F50A5A7" w:rsidR="00377965" w:rsidRPr="0025564F" w:rsidRDefault="00000000" w:rsidP="002019F5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To target the amplified regions, we aligned the deduplicated reads to the Escherichia coli 16S rRNA reference sequence using BWA</w:t>
      </w:r>
      <w:r w:rsidR="00DC729F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(</w:t>
      </w:r>
      <w:r w:rsidR="00DC729F" w:rsidRPr="002F3622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version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0.7.17-r1188). Based on alignment positions, only reads containing the V6 region were retained for downstream analysis.</w:t>
      </w:r>
    </w:p>
    <w:p w14:paraId="58E51510" w14:textId="3EEF28C8" w:rsidR="00377965" w:rsidRPr="0025564F" w:rsidRDefault="00000000" w:rsidP="002019F5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 xml:space="preserve">Next, we processed the V6-containing reads with </w:t>
      </w:r>
      <w:bookmarkStart w:id="0" w:name="OLE_LINK1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QIIME2</w:t>
      </w:r>
      <w:bookmarkEnd w:id="0"/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(</w:t>
      </w:r>
      <w:r w:rsidR="00343B64" w:rsidRPr="002F3622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version</w:t>
      </w:r>
      <w:r w:rsidRPr="0025564F">
        <w:rPr>
          <w:rFonts w:ascii="Times New Roman" w:hAnsi="Times New Roman" w:cs="Times New Roman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2023.2.0) for 16S rRNA data analysis. During this step, we reformatted the data into a QIIME2-compatible format by combining the barcode and UMI into a single identifier required for QIIME2’s pipeline. The resulting genus-level feature table generated by QIIME2 was then integrated into Seurat for joint analysis by creating a microbe assay object. Finally, we performed integrated transcriptomic and microbial community analysis using this object.</w:t>
      </w:r>
    </w:p>
    <w:p w14:paraId="6765DD94" w14:textId="77777777" w:rsidR="00377965" w:rsidRPr="0025564F" w:rsidRDefault="00377965" w:rsidP="002019F5">
      <w:pPr>
        <w:spacing w:line="360" w:lineRule="auto"/>
        <w:rPr>
          <w:rFonts w:ascii="Times New Roman" w:hAnsi="Times New Roman" w:cs="Times New Roman" w:hint="eastAsia"/>
          <w:sz w:val="24"/>
        </w:rPr>
      </w:pPr>
    </w:p>
    <w:p w14:paraId="69193E8C" w14:textId="77777777" w:rsidR="00377965" w:rsidRPr="0025564F" w:rsidRDefault="00000000" w:rsidP="002019F5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25564F">
        <w:rPr>
          <w:rFonts w:ascii="Times New Roman" w:eastAsia="宋体" w:hAnsi="Times New Roman" w:cs="Times New Roman"/>
          <w:kern w:val="0"/>
          <w:sz w:val="24"/>
        </w:rPr>
        <w:t>Chen, Shifu et al. “</w:t>
      </w:r>
      <w:proofErr w:type="spellStart"/>
      <w:r w:rsidRPr="0025564F">
        <w:rPr>
          <w:rFonts w:ascii="Times New Roman" w:eastAsia="宋体" w:hAnsi="Times New Roman" w:cs="Times New Roman"/>
          <w:kern w:val="0"/>
          <w:sz w:val="24"/>
        </w:rPr>
        <w:t>fastp</w:t>
      </w:r>
      <w:proofErr w:type="spellEnd"/>
      <w:r w:rsidRPr="0025564F">
        <w:rPr>
          <w:rFonts w:ascii="Times New Roman" w:eastAsia="宋体" w:hAnsi="Times New Roman" w:cs="Times New Roman"/>
          <w:kern w:val="0"/>
          <w:sz w:val="24"/>
        </w:rPr>
        <w:t xml:space="preserve">: an ultra-fast all-in-one FASTQ preprocessor.” Bioinformatics (Oxford, England) vol. 34,17 (2018): i884-i890. </w:t>
      </w:r>
      <w:r w:rsidRPr="0025564F">
        <w:rPr>
          <w:rFonts w:ascii="Times New Roman" w:eastAsia="宋体" w:hAnsi="Times New Roman" w:cs="Times New Roman"/>
          <w:kern w:val="0"/>
          <w:sz w:val="24"/>
        </w:rPr>
        <w:lastRenderedPageBreak/>
        <w:t>doi:10.1093/bioinformatics/bty560.</w:t>
      </w:r>
    </w:p>
    <w:p w14:paraId="67CBBC51" w14:textId="0E37EB86" w:rsidR="00377965" w:rsidRPr="001A2A8F" w:rsidRDefault="00000000" w:rsidP="002019F5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 w:hint="eastAsia"/>
          <w:kern w:val="0"/>
          <w:sz w:val="24"/>
        </w:rPr>
      </w:pPr>
      <w:r w:rsidRPr="0025564F">
        <w:rPr>
          <w:rFonts w:ascii="Times New Roman" w:eastAsia="宋体" w:hAnsi="Times New Roman" w:cs="Times New Roman"/>
          <w:kern w:val="0"/>
          <w:sz w:val="24"/>
          <w:lang w:eastAsia="zh-Hans"/>
        </w:rPr>
        <w:t>Pijuan-Sala, Blanca et al. “A single-cell molecular map of mouse gastrulation and early</w:t>
      </w:r>
      <w:r w:rsidRPr="0025564F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25564F">
        <w:rPr>
          <w:rFonts w:ascii="Times New Roman" w:eastAsia="宋体" w:hAnsi="Times New Roman" w:cs="Times New Roman"/>
          <w:kern w:val="0"/>
          <w:sz w:val="24"/>
          <w:lang w:eastAsia="zh-Hans"/>
        </w:rPr>
        <w:t>organogenesis.” Nature vol. 566,7745 (2019): 490-495. doi:10.1038/s41586-019-0933-9</w:t>
      </w:r>
      <w:r w:rsidRPr="0025564F">
        <w:rPr>
          <w:rFonts w:ascii="Times New Roman" w:eastAsia="宋体" w:hAnsi="Times New Roman" w:cs="Times New Roman"/>
          <w:kern w:val="0"/>
          <w:sz w:val="24"/>
        </w:rPr>
        <w:t>.</w:t>
      </w:r>
    </w:p>
    <w:sectPr w:rsidR="00377965" w:rsidRPr="001A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Regula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B50D9"/>
    <w:multiLevelType w:val="singleLevel"/>
    <w:tmpl w:val="BDFB50D9"/>
    <w:lvl w:ilvl="0">
      <w:start w:val="2"/>
      <w:numFmt w:val="decimal"/>
      <w:suff w:val="space"/>
      <w:lvlText w:val="[%1]"/>
      <w:lvlJc w:val="left"/>
      <w:rPr>
        <w:rFonts w:ascii="Times New Roman Regular" w:hAnsi="Times New Roman Regular" w:cs="Times New Roman Regular" w:hint="default"/>
        <w:sz w:val="20"/>
        <w:szCs w:val="20"/>
      </w:rPr>
    </w:lvl>
  </w:abstractNum>
  <w:abstractNum w:abstractNumId="1" w15:restartNumberingAfterBreak="0">
    <w:nsid w:val="4D4AAC1B"/>
    <w:multiLevelType w:val="singleLevel"/>
    <w:tmpl w:val="4D4AAC1B"/>
    <w:lvl w:ilvl="0">
      <w:start w:val="1"/>
      <w:numFmt w:val="decimal"/>
      <w:suff w:val="space"/>
      <w:lvlText w:val="[%1]"/>
      <w:lvlJc w:val="left"/>
    </w:lvl>
  </w:abstractNum>
  <w:num w:numId="1" w16cid:durableId="2020960857">
    <w:abstractNumId w:val="1"/>
  </w:num>
  <w:num w:numId="2" w16cid:durableId="16852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2MTVjZTcyZTEwYjQwNTM4MzMzNzBlNmE3MmEyOTgifQ=="/>
  </w:docVars>
  <w:rsids>
    <w:rsidRoot w:val="00BC3634"/>
    <w:rsid w:val="00076DD7"/>
    <w:rsid w:val="000C7997"/>
    <w:rsid w:val="00151886"/>
    <w:rsid w:val="001A2A8F"/>
    <w:rsid w:val="00201306"/>
    <w:rsid w:val="002019F5"/>
    <w:rsid w:val="00224ED5"/>
    <w:rsid w:val="0025564F"/>
    <w:rsid w:val="002F04DE"/>
    <w:rsid w:val="002F3622"/>
    <w:rsid w:val="0032723F"/>
    <w:rsid w:val="00343B64"/>
    <w:rsid w:val="00377965"/>
    <w:rsid w:val="003A5E45"/>
    <w:rsid w:val="003B42C8"/>
    <w:rsid w:val="004216A9"/>
    <w:rsid w:val="00441EFD"/>
    <w:rsid w:val="00441F75"/>
    <w:rsid w:val="004A2384"/>
    <w:rsid w:val="004D1A4E"/>
    <w:rsid w:val="005567CE"/>
    <w:rsid w:val="00564336"/>
    <w:rsid w:val="005E1BE4"/>
    <w:rsid w:val="0089723A"/>
    <w:rsid w:val="00B76DFE"/>
    <w:rsid w:val="00BC3634"/>
    <w:rsid w:val="00C55306"/>
    <w:rsid w:val="00CD4E39"/>
    <w:rsid w:val="00DC729F"/>
    <w:rsid w:val="00E50EF1"/>
    <w:rsid w:val="113C20A1"/>
    <w:rsid w:val="20AE2A9A"/>
    <w:rsid w:val="418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F5C2"/>
  <w15:docId w15:val="{EEBACF8B-F7E2-49CF-B6C9-54C026D1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paragraph" w:styleId="a5">
    <w:name w:val="Normal (Web)"/>
    <w:basedOn w:val="a"/>
    <w:autoRedefine/>
    <w:uiPriority w:val="99"/>
    <w:qFormat/>
    <w:pPr>
      <w:widowControl/>
      <w:spacing w:beforeAutospacing="1" w:afterAutospacing="1"/>
      <w:jc w:val="left"/>
    </w:pPr>
    <w:rPr>
      <w:rFonts w:ascii="宋体" w:hAnsi="宋体" w:cs="Times New Roman"/>
      <w:kern w:val="0"/>
      <w:sz w:val="24"/>
    </w:rPr>
  </w:style>
  <w:style w:type="character" w:styleId="a6">
    <w:name w:val="Strong"/>
    <w:basedOn w:val="a0"/>
    <w:autoRedefine/>
    <w:uiPriority w:val="22"/>
    <w:qFormat/>
    <w:rPr>
      <w:b/>
      <w:bCs/>
    </w:rPr>
  </w:style>
  <w:style w:type="character" w:styleId="a7">
    <w:name w:val="Emphasis"/>
    <w:basedOn w:val="a0"/>
    <w:autoRedefine/>
    <w:uiPriority w:val="20"/>
    <w:qFormat/>
    <w:rPr>
      <w:i/>
      <w:iCs/>
    </w:rPr>
  </w:style>
  <w:style w:type="character" w:customStyle="1" w:styleId="a4">
    <w:name w:val="正文文本 字符"/>
    <w:basedOn w:val="a0"/>
    <w:link w:val="a3"/>
    <w:autoRedefine/>
    <w:uiPriority w:val="1"/>
    <w:rPr>
      <w:rFonts w:eastAsia="Times New Roman"/>
      <w:sz w:val="21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1844</Characters>
  <Application>Microsoft Office Word</Application>
  <DocSecurity>0</DocSecurity>
  <Lines>33</Lines>
  <Paragraphs>7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蒋凡</dc:creator>
  <cp:lastModifiedBy>梦洁 贾</cp:lastModifiedBy>
  <cp:revision>33</cp:revision>
  <dcterms:created xsi:type="dcterms:W3CDTF">2014-10-29T12:08:00Z</dcterms:created>
  <dcterms:modified xsi:type="dcterms:W3CDTF">2025-04-29T06:13:00Z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eyJoZGlkIjoiYmM1MzhjZWMxNzE2ZmFlOGU1OTU1YWI5YWNlY2JjZWEiLCJ1c2VySWQiOiIzNTgxNDIwMTkifQ==</vt:lpwstr>
  </property>
  <property fmtid="{D5CDD505-2E9C-101B-9397-08002B2CF9AE}" pid="4" name="ICV">
    <vt:lpwstr>2A731BC7D0D04CF99FC228826BED50B6_12</vt:lpwstr>
  </property>
</Properties>
</file>