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DD" w:rsidRPr="00985ADB" w:rsidRDefault="00985ADB">
      <w:pPr>
        <w:rPr>
          <w:rFonts w:ascii="Times New Roman" w:eastAsia="宋体" w:hAnsi="Times New Roman" w:cs="宋体"/>
          <w:b/>
          <w:bCs/>
          <w:sz w:val="32"/>
          <w:szCs w:val="32"/>
        </w:rPr>
      </w:pPr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>Methods</w:t>
      </w:r>
    </w:p>
    <w:p w:rsidR="009D0BDD" w:rsidRDefault="00985ADB">
      <w:pPr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</w:p>
    <w:p w:rsidR="009D0BDD" w:rsidRPr="00985ADB" w:rsidRDefault="00985ADB">
      <w:pPr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</w:pPr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>C</w:t>
      </w:r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 xml:space="preserve">ell preparation </w:t>
      </w:r>
    </w:p>
    <w:p w:rsidR="009D0BDD" w:rsidRDefault="00985ADB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ar"/>
        </w:rPr>
        <w:t>A</w:t>
      </w:r>
      <w:r>
        <w:rPr>
          <w:rFonts w:ascii="Times New Roman" w:hAnsi="Times New Roman" w:cs="Times New Roman"/>
          <w:sz w:val="24"/>
          <w:lang w:bidi="ar"/>
        </w:rPr>
        <w:t xml:space="preserve">fter </w:t>
      </w:r>
      <w:r>
        <w:rPr>
          <w:rFonts w:ascii="Times New Roman" w:eastAsia="宋体" w:hAnsi="Times New Roman" w:cs="Times New Roman"/>
          <w:sz w:val="24"/>
          <w:lang w:bidi="ar"/>
        </w:rPr>
        <w:t>harvested, tissues were washed in ice-cold PBS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Hyclone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SH30256.01) and dissociated using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SeekMate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Tissue Dissociation Reagent Kit 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A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 xml:space="preserve"> Pro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SeekGene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K01801-30) or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SeekMate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Tissue Dissociation Kit C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SeekGene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K01501-50)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from </w:t>
      </w:r>
      <w:proofErr w:type="spellStart"/>
      <w:r>
        <w:rPr>
          <w:rFonts w:ascii="Times New Roman" w:hAnsi="Times New Roman" w:cs="Times New Roman"/>
          <w:sz w:val="24"/>
          <w:lang w:bidi="ar"/>
        </w:rPr>
        <w:t>SeekGene</w:t>
      </w:r>
      <w:proofErr w:type="spellEnd"/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as instructions. DNase</w:t>
      </w:r>
      <w:r>
        <w:rPr>
          <w:rFonts w:ascii="Times New Roman" w:hAnsi="Times New Roman" w:cs="Times New Roman"/>
          <w:sz w:val="24"/>
          <w:lang w:bidi="ar"/>
        </w:rPr>
        <w:t xml:space="preserve"> Ⅰ (Sigma 9003-98-9) </w:t>
      </w:r>
      <w:r>
        <w:rPr>
          <w:rFonts w:ascii="Times New Roman" w:eastAsia="宋体" w:hAnsi="Times New Roman" w:cs="Times New Roman"/>
          <w:sz w:val="24"/>
          <w:lang w:bidi="ar"/>
        </w:rPr>
        <w:t>treatment was optional according to the viscosity of the homogenate. Cell count and viability was estimated using F</w:t>
      </w:r>
      <w:r>
        <w:rPr>
          <w:rFonts w:ascii="Times New Roman" w:hAnsi="Times New Roman" w:cs="Times New Roman"/>
          <w:sz w:val="24"/>
          <w:lang w:bidi="ar"/>
        </w:rPr>
        <w:t>luorescence Cell Analyzer (</w:t>
      </w:r>
      <w:proofErr w:type="spellStart"/>
      <w:r>
        <w:rPr>
          <w:rFonts w:ascii="Times New Roman" w:hAnsi="Times New Roman" w:cs="Times New Roman"/>
          <w:sz w:val="24"/>
          <w:lang w:bidi="ar"/>
        </w:rPr>
        <w:t>Countstar</w:t>
      </w:r>
      <w:proofErr w:type="spellEnd"/>
      <w:r>
        <w:rPr>
          <w:rFonts w:ascii="Times New Roman" w:eastAsia="宋体" w:hAnsi="Times New Roman" w:cs="Times New Roman"/>
          <w:sz w:val="24"/>
          <w:vertAlign w:val="superscript"/>
          <w:lang w:bidi="ar"/>
        </w:rPr>
        <w:t>®</w:t>
      </w:r>
      <w:r>
        <w:rPr>
          <w:rFonts w:ascii="Times New Roman" w:hAnsi="Times New Roman" w:cs="Times New Roman"/>
          <w:sz w:val="24"/>
          <w:lang w:bidi="ar"/>
        </w:rPr>
        <w:t xml:space="preserve"> Rigel S2) or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SeekMate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Tinitan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Fluorescence Cel</w:t>
      </w:r>
      <w:r>
        <w:rPr>
          <w:rFonts w:ascii="Times New Roman" w:eastAsia="宋体" w:hAnsi="Times New Roman" w:cs="Times New Roman"/>
          <w:sz w:val="24"/>
          <w:lang w:bidi="ar"/>
        </w:rPr>
        <w:t>l Counter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SeekGene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M002C)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with AO/PI reagent after removal erythrocytes (</w:t>
      </w:r>
      <w:proofErr w:type="spellStart"/>
      <w:r>
        <w:rPr>
          <w:rFonts w:ascii="Times New Roman" w:hAnsi="Times New Roman" w:cs="Times New Roman"/>
          <w:sz w:val="24"/>
          <w:lang w:bidi="ar"/>
        </w:rPr>
        <w:t>Solarbio</w:t>
      </w:r>
      <w:proofErr w:type="spellEnd"/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lang w:bidi="ar"/>
        </w:rPr>
        <w:t>R1010</w:t>
      </w:r>
      <w:r>
        <w:rPr>
          <w:rFonts w:ascii="Times New Roman" w:eastAsia="宋体" w:hAnsi="Times New Roman" w:cs="Times New Roman"/>
          <w:sz w:val="24"/>
          <w:lang w:bidi="ar"/>
        </w:rPr>
        <w:t>) and then debris and dead cells removal was decided to be performed or not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Miltenyi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130-109-398/130-090-101). Finally fresh cells were washed twice in the RPMI1640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G</w:t>
      </w:r>
      <w:r>
        <w:rPr>
          <w:rFonts w:ascii="Times New Roman" w:eastAsia="宋体" w:hAnsi="Times New Roman" w:cs="Times New Roman"/>
          <w:sz w:val="24"/>
          <w:lang w:bidi="ar"/>
        </w:rPr>
        <w:t>ibco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11875119) and then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resuspended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at 1</w:t>
      </w:r>
      <w:r>
        <w:rPr>
          <w:rFonts w:ascii="宋体" w:eastAsia="宋体" w:hAnsi="宋体" w:cs="宋体" w:hint="eastAsia"/>
          <w:sz w:val="24"/>
          <w:lang w:bidi="ar"/>
        </w:rPr>
        <w:t>×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Times New Roman" w:eastAsia="宋体" w:hAnsi="Times New Roman" w:cs="Times New Roman"/>
          <w:sz w:val="24"/>
          <w:vertAlign w:val="superscript"/>
          <w:lang w:bidi="ar"/>
        </w:rPr>
        <w:t>6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cells per ml in RPMI1640 and 2% FBS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Gibco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10100147C).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</w:p>
    <w:p w:rsidR="009D0BDD" w:rsidRDefault="00985ADB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lang w:bidi="ar"/>
        </w:rPr>
        <w:t xml:space="preserve"> </w:t>
      </w:r>
    </w:p>
    <w:p w:rsidR="009D0BDD" w:rsidRPr="00985ADB" w:rsidRDefault="00985AD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>S</w:t>
      </w:r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>ingle cell RNA-</w:t>
      </w:r>
      <w:proofErr w:type="spellStart"/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>s</w:t>
      </w:r>
      <w:r w:rsidRPr="00985ADB">
        <w:rPr>
          <w:rFonts w:ascii="Times New Roman" w:hAnsi="Times New Roman" w:cs="Times New Roman"/>
          <w:b/>
          <w:bCs/>
          <w:sz w:val="32"/>
          <w:szCs w:val="32"/>
          <w:lang w:bidi="ar"/>
        </w:rPr>
        <w:t>eq</w:t>
      </w:r>
      <w:proofErr w:type="spellEnd"/>
      <w:r w:rsidRPr="00985ADB">
        <w:rPr>
          <w:rFonts w:ascii="Times New Roman" w:hAnsi="Times New Roman" w:cs="Times New Roman"/>
          <w:b/>
          <w:bCs/>
          <w:sz w:val="32"/>
          <w:szCs w:val="32"/>
          <w:lang w:bidi="ar"/>
        </w:rPr>
        <w:t xml:space="preserve"> </w:t>
      </w:r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 xml:space="preserve">&amp;16S </w:t>
      </w:r>
      <w:r w:rsidRPr="00985ADB">
        <w:rPr>
          <w:rFonts w:ascii="Times New Roman" w:hAnsi="Times New Roman" w:cs="Times New Roman"/>
          <w:b/>
          <w:bCs/>
          <w:sz w:val="32"/>
          <w:szCs w:val="32"/>
          <w:lang w:bidi="ar"/>
        </w:rPr>
        <w:t xml:space="preserve">library construction </w:t>
      </w:r>
      <w:r w:rsidRPr="00985ADB">
        <w:rPr>
          <w:rFonts w:ascii="Times New Roman" w:eastAsia="宋体" w:hAnsi="Times New Roman" w:cs="Times New Roman"/>
          <w:b/>
          <w:bCs/>
          <w:sz w:val="32"/>
          <w:szCs w:val="32"/>
          <w:lang w:bidi="ar"/>
        </w:rPr>
        <w:t>and sequencing</w:t>
      </w:r>
    </w:p>
    <w:p w:rsidR="009D0BDD" w:rsidRDefault="00985ADB">
      <w:pPr>
        <w:spacing w:line="360" w:lineRule="auto"/>
        <w:ind w:firstLineChars="100" w:firstLine="240"/>
        <w:rPr>
          <w:rFonts w:ascii="Times New Roman" w:eastAsia="宋体" w:hAnsi="Times New Roman" w:cs="宋体"/>
          <w:sz w:val="24"/>
        </w:rPr>
      </w:pPr>
      <w:r>
        <w:rPr>
          <w:rFonts w:ascii="Times New Roman" w:hAnsi="Times New Roman" w:cs="Times New Roman"/>
          <w:sz w:val="24"/>
          <w:lang w:bidi="ar"/>
        </w:rPr>
        <w:t>S</w:t>
      </w:r>
      <w:r>
        <w:rPr>
          <w:rFonts w:ascii="Times New Roman" w:hAnsi="Times New Roman" w:cs="Times New Roman"/>
          <w:sz w:val="24"/>
          <w:lang w:bidi="ar"/>
        </w:rPr>
        <w:t xml:space="preserve">ingle-cell </w:t>
      </w:r>
      <w:r>
        <w:rPr>
          <w:rFonts w:ascii="Times New Roman" w:eastAsia="宋体" w:hAnsi="Times New Roman" w:cs="Times New Roman"/>
          <w:sz w:val="24"/>
          <w:lang w:bidi="ar"/>
        </w:rPr>
        <w:t>RNA-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seq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&amp; 16S </w:t>
      </w:r>
      <w:r>
        <w:rPr>
          <w:rFonts w:ascii="Times New Roman" w:hAnsi="Times New Roman" w:cs="Times New Roman"/>
          <w:sz w:val="24"/>
          <w:lang w:bidi="ar"/>
        </w:rPr>
        <w:t xml:space="preserve">libraries were </w:t>
      </w:r>
      <w:r>
        <w:rPr>
          <w:rFonts w:ascii="Times New Roman" w:eastAsia="宋体" w:hAnsi="Times New Roman" w:cs="Times New Roman"/>
          <w:sz w:val="24"/>
          <w:lang w:bidi="ar"/>
        </w:rPr>
        <w:t xml:space="preserve">respectively </w:t>
      </w:r>
      <w:r>
        <w:rPr>
          <w:rFonts w:ascii="Times New Roman" w:hAnsi="Times New Roman" w:cs="Times New Roman"/>
          <w:sz w:val="24"/>
          <w:lang w:bidi="ar"/>
        </w:rPr>
        <w:t xml:space="preserve">prepared using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SeekOne</w:t>
      </w:r>
      <w:proofErr w:type="spellEnd"/>
      <w:r>
        <w:rPr>
          <w:rFonts w:ascii="Times New Roman" w:eastAsia="宋体" w:hAnsi="Times New Roman" w:cs="Times New Roman"/>
          <w:sz w:val="24"/>
          <w:vertAlign w:val="superscript"/>
          <w:lang w:bidi="ar"/>
        </w:rPr>
        <w:t>®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DD Single </w:t>
      </w:r>
      <w:r>
        <w:rPr>
          <w:rFonts w:ascii="Times New Roman" w:eastAsia="宋体" w:hAnsi="Times New Roman" w:cs="Times New Roman"/>
          <w:sz w:val="24"/>
          <w:lang w:bidi="ar"/>
        </w:rPr>
        <w:t>Cell 5</w:t>
      </w:r>
      <w:r>
        <w:rPr>
          <w:rFonts w:ascii="Times New Roman" w:hAnsi="Times New Roman" w:cs="Times New Roman"/>
          <w:sz w:val="24"/>
          <w:lang w:bidi="ar"/>
        </w:rPr>
        <w:t>’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library preparation kit </w:t>
      </w:r>
      <w:r>
        <w:rPr>
          <w:rFonts w:ascii="Times New Roman" w:hAnsi="Times New Roman" w:cs="Times New Roman"/>
          <w:sz w:val="24"/>
          <w:lang w:bidi="ar"/>
        </w:rPr>
        <w:t>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SeekGene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Catalog 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No.K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00501</w:t>
      </w:r>
      <w:r>
        <w:rPr>
          <w:rFonts w:ascii="Times New Roman" w:hAnsi="Times New Roman" w:cs="Times New Roman"/>
          <w:sz w:val="24"/>
          <w:lang w:bidi="ar"/>
        </w:rPr>
        <w:t>)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and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SeekOne</w:t>
      </w:r>
      <w:proofErr w:type="spellEnd"/>
      <w:r>
        <w:rPr>
          <w:rFonts w:ascii="Times New Roman" w:eastAsia="宋体" w:hAnsi="Times New Roman" w:cs="Times New Roman"/>
          <w:sz w:val="24"/>
          <w:vertAlign w:val="superscript"/>
          <w:lang w:bidi="ar"/>
        </w:rPr>
        <w:t>®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DD Single Cell 16S Kit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SeekGene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, Catalog No.K02701). Briefly, appropriate number of cells were mixed with reverse transcription reagent and then loaded to the sample well in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SeekOne</w:t>
      </w:r>
      <w:proofErr w:type="spellEnd"/>
      <w:r>
        <w:rPr>
          <w:rFonts w:ascii="Times New Roman" w:eastAsia="宋体" w:hAnsi="Times New Roman" w:cs="Times New Roman"/>
          <w:sz w:val="24"/>
          <w:vertAlign w:val="superscript"/>
          <w:lang w:bidi="ar"/>
        </w:rPr>
        <w:t>®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DD Chip S3. Subsequently Gel Beads and Partitioning Oil were dispensed into corresponding wells separately in chip. After emulsion droplet generation reverse transcription were performed at 42</w:t>
      </w:r>
      <w:r>
        <w:rPr>
          <w:rFonts w:ascii="宋体" w:eastAsia="宋体" w:hAnsi="宋体" w:cs="宋体" w:hint="eastAsia"/>
          <w:sz w:val="24"/>
          <w:lang w:bidi="ar"/>
        </w:rPr>
        <w:t>℃</w:t>
      </w:r>
      <w:r>
        <w:rPr>
          <w:rFonts w:ascii="Times New Roman" w:eastAsia="宋体" w:hAnsi="Times New Roman" w:cs="Times New Roman"/>
          <w:sz w:val="24"/>
          <w:lang w:bidi="ar"/>
        </w:rPr>
        <w:t>for 90 minutes and inactivated at 85</w:t>
      </w:r>
      <w:r>
        <w:rPr>
          <w:rFonts w:ascii="宋体" w:eastAsia="宋体" w:hAnsi="宋体" w:cs="宋体" w:hint="eastAsia"/>
          <w:sz w:val="24"/>
          <w:lang w:bidi="ar"/>
        </w:rPr>
        <w:t>℃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for 5 minutes. Next, cD</w:t>
      </w:r>
      <w:r>
        <w:rPr>
          <w:rFonts w:ascii="Times New Roman" w:eastAsia="宋体" w:hAnsi="Times New Roman" w:cs="Times New Roman"/>
          <w:sz w:val="24"/>
          <w:lang w:bidi="ar"/>
        </w:rPr>
        <w:t xml:space="preserve">NA was purified from broken droplet and amplified in PCR reaction. Then, the amplified cDNA product was separated into two fractions: one processed into gene expression sequencing 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libraries ,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 xml:space="preserve"> and the other processed into 16S sequencing libraries. </w:t>
      </w:r>
    </w:p>
    <w:p w:rsidR="009D0BDD" w:rsidRDefault="00985ADB">
      <w:pPr>
        <w:spacing w:line="360" w:lineRule="auto"/>
        <w:ind w:firstLineChars="100" w:firstLine="24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T</w:t>
      </w:r>
      <w:r>
        <w:rPr>
          <w:rFonts w:ascii="Times New Roman" w:eastAsia="宋体" w:hAnsi="Times New Roman" w:cs="Times New Roman"/>
          <w:sz w:val="24"/>
          <w:lang w:bidi="ar"/>
        </w:rPr>
        <w:t>he ampl</w:t>
      </w:r>
      <w:r>
        <w:rPr>
          <w:rFonts w:ascii="Times New Roman" w:eastAsia="宋体" w:hAnsi="Times New Roman" w:cs="Times New Roman"/>
          <w:sz w:val="24"/>
          <w:lang w:bidi="ar"/>
        </w:rPr>
        <w:t xml:space="preserve">ified cDNA product was fragmented, end repaired, A-tailed and ligated to </w:t>
      </w:r>
      <w:r>
        <w:rPr>
          <w:rFonts w:ascii="Times New Roman" w:eastAsia="宋体" w:hAnsi="Times New Roman" w:cs="Times New Roman"/>
          <w:sz w:val="24"/>
          <w:lang w:bidi="ar"/>
        </w:rPr>
        <w:lastRenderedPageBreak/>
        <w:t>sequencing adaptor. Finally, the indexed PCR were performed to amplified the DNA which also contained Cell Barcode and Unique Molecular Index. The indexed sequencing libraries were cl</w:t>
      </w:r>
      <w:r>
        <w:rPr>
          <w:rFonts w:ascii="Times New Roman" w:eastAsia="宋体" w:hAnsi="Times New Roman" w:cs="Times New Roman"/>
          <w:sz w:val="24"/>
          <w:lang w:bidi="ar"/>
        </w:rPr>
        <w:t xml:space="preserve">eanup with </w:t>
      </w:r>
      <w:r>
        <w:rPr>
          <w:rFonts w:ascii="Times New Roman" w:hAnsi="Times New Roman" w:cs="Times New Roman"/>
          <w:sz w:val="24"/>
          <w:lang w:bidi="ar"/>
        </w:rPr>
        <w:t>VAHTS DNA Clean Beads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Vazyme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lang w:bidi="ar"/>
        </w:rPr>
        <w:t>N411-01</w:t>
      </w:r>
      <w:r>
        <w:rPr>
          <w:rFonts w:ascii="Times New Roman" w:eastAsia="宋体" w:hAnsi="Times New Roman" w:cs="Times New Roman"/>
          <w:sz w:val="24"/>
          <w:lang w:bidi="ar"/>
        </w:rPr>
        <w:t xml:space="preserve">), </w:t>
      </w:r>
      <w:r>
        <w:rPr>
          <w:rFonts w:ascii="Times New Roman" w:hAnsi="Times New Roman" w:cs="Times New Roman"/>
          <w:sz w:val="24"/>
          <w:lang w:bidi="ar"/>
        </w:rPr>
        <w:t>analyzed by Qubit (</w:t>
      </w:r>
      <w:proofErr w:type="spellStart"/>
      <w:r>
        <w:rPr>
          <w:rFonts w:ascii="Times New Roman" w:hAnsi="Times New Roman" w:cs="Times New Roman"/>
          <w:sz w:val="24"/>
          <w:lang w:bidi="ar"/>
        </w:rPr>
        <w:t>Thermo</w:t>
      </w:r>
      <w:proofErr w:type="spellEnd"/>
      <w:r>
        <w:rPr>
          <w:rFonts w:ascii="Times New Roman" w:hAnsi="Times New Roman" w:cs="Times New Roman"/>
          <w:sz w:val="24"/>
          <w:lang w:bidi="ar"/>
        </w:rPr>
        <w:t xml:space="preserve"> Fisher </w:t>
      </w:r>
      <w:r>
        <w:rPr>
          <w:rFonts w:ascii="Times New Roman" w:eastAsia="宋体" w:hAnsi="Times New Roman" w:cs="Times New Roman"/>
          <w:sz w:val="24"/>
          <w:lang w:bidi="ar"/>
        </w:rPr>
        <w:t xml:space="preserve">Scientific </w:t>
      </w:r>
      <w:r>
        <w:rPr>
          <w:rFonts w:ascii="Times New Roman" w:hAnsi="Times New Roman" w:cs="Times New Roman"/>
          <w:sz w:val="24"/>
          <w:lang w:bidi="ar"/>
        </w:rPr>
        <w:t xml:space="preserve">Q33226) and </w:t>
      </w:r>
      <w:r>
        <w:rPr>
          <w:rFonts w:ascii="Times New Roman" w:eastAsia="宋体" w:hAnsi="Times New Roman" w:cs="Times New Roman"/>
          <w:sz w:val="24"/>
          <w:lang w:bidi="ar"/>
        </w:rPr>
        <w:t>Bio-Fragment Analyzer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Bioptic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Qsep400)</w:t>
      </w:r>
      <w:r>
        <w:rPr>
          <w:rFonts w:ascii="Times New Roman" w:hAnsi="Times New Roman" w:cs="Times New Roman"/>
          <w:sz w:val="24"/>
          <w:lang w:bidi="ar"/>
        </w:rPr>
        <w:t>.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lang w:bidi="ar"/>
        </w:rPr>
        <w:t>The libraries were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then sequenced on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illumina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NovaSeq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6000 with PE150 read length</w:t>
      </w:r>
      <w:r>
        <w:rPr>
          <w:rFonts w:ascii="Times New Roman" w:hAnsi="Times New Roman" w:cs="Times New Roman"/>
          <w:sz w:val="24"/>
          <w:lang w:bidi="ar"/>
        </w:rPr>
        <w:t xml:space="preserve"> or DNBSEQ-T7 platform with</w:t>
      </w:r>
      <w:r>
        <w:rPr>
          <w:rFonts w:ascii="Times New Roman" w:hAnsi="Times New Roman" w:cs="Times New Roman"/>
          <w:sz w:val="24"/>
          <w:lang w:bidi="ar"/>
        </w:rPr>
        <w:t xml:space="preserve"> PE150 read length</w:t>
      </w:r>
      <w:r>
        <w:rPr>
          <w:rFonts w:ascii="Times New Roman" w:eastAsia="宋体" w:hAnsi="Times New Roman" w:cs="Times New Roman"/>
          <w:sz w:val="24"/>
          <w:lang w:bidi="ar"/>
        </w:rPr>
        <w:t>.</w:t>
      </w:r>
    </w:p>
    <w:p w:rsidR="009D0BDD" w:rsidRDefault="00985ADB" w:rsidP="00985ADB">
      <w:pPr>
        <w:spacing w:line="360" w:lineRule="auto"/>
        <w:ind w:firstLineChars="100" w:firstLine="240"/>
        <w:rPr>
          <w:rFonts w:ascii="Times New Roman" w:eastAsia="宋体" w:hAnsi="Times New Roman" w:cs="Times New Roman" w:hint="eastAsia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T</w:t>
      </w:r>
      <w:r>
        <w:rPr>
          <w:rFonts w:ascii="Times New Roman" w:eastAsia="宋体" w:hAnsi="Times New Roman" w:cs="Times New Roman"/>
          <w:sz w:val="24"/>
          <w:lang w:bidi="ar"/>
        </w:rPr>
        <w:t xml:space="preserve">he amplified cDNA product was enriched for 16S amplification. Then the indexed PCR were performed to amplified the DNA representing 16S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rRNA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which also contained Cell Barcode and Unique Molecular Index. The indexed sequencing libraries were cleanup with </w:t>
      </w:r>
      <w:r>
        <w:rPr>
          <w:rFonts w:ascii="Times New Roman" w:hAnsi="Times New Roman" w:cs="Times New Roman"/>
          <w:sz w:val="24"/>
          <w:lang w:bidi="ar"/>
        </w:rPr>
        <w:t>V</w:t>
      </w:r>
      <w:r>
        <w:rPr>
          <w:rFonts w:ascii="Times New Roman" w:hAnsi="Times New Roman" w:cs="Times New Roman"/>
          <w:sz w:val="24"/>
          <w:lang w:bidi="ar"/>
        </w:rPr>
        <w:t>AHTS DNA Clean Beads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Vazyme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lang w:bidi="ar"/>
        </w:rPr>
        <w:t>N411-01</w:t>
      </w:r>
      <w:r>
        <w:rPr>
          <w:rFonts w:ascii="Times New Roman" w:eastAsia="宋体" w:hAnsi="Times New Roman" w:cs="Times New Roman"/>
          <w:sz w:val="24"/>
          <w:lang w:bidi="ar"/>
        </w:rPr>
        <w:t xml:space="preserve">), </w:t>
      </w:r>
      <w:r>
        <w:rPr>
          <w:rFonts w:ascii="Times New Roman" w:hAnsi="Times New Roman" w:cs="Times New Roman"/>
          <w:sz w:val="24"/>
          <w:lang w:bidi="ar"/>
        </w:rPr>
        <w:t>analyzed by Qubit (</w:t>
      </w:r>
      <w:proofErr w:type="spellStart"/>
      <w:r>
        <w:rPr>
          <w:rFonts w:ascii="Times New Roman" w:hAnsi="Times New Roman" w:cs="Times New Roman"/>
          <w:sz w:val="24"/>
          <w:lang w:bidi="ar"/>
        </w:rPr>
        <w:t>Thermo</w:t>
      </w:r>
      <w:proofErr w:type="spellEnd"/>
      <w:r>
        <w:rPr>
          <w:rFonts w:ascii="Times New Roman" w:hAnsi="Times New Roman" w:cs="Times New Roman"/>
          <w:sz w:val="24"/>
          <w:lang w:bidi="ar"/>
        </w:rPr>
        <w:t xml:space="preserve"> Fisher </w:t>
      </w:r>
      <w:r>
        <w:rPr>
          <w:rFonts w:ascii="Times New Roman" w:eastAsia="宋体" w:hAnsi="Times New Roman" w:cs="Times New Roman"/>
          <w:sz w:val="24"/>
          <w:lang w:bidi="ar"/>
        </w:rPr>
        <w:t xml:space="preserve">Scientific </w:t>
      </w:r>
      <w:r>
        <w:rPr>
          <w:rFonts w:ascii="Times New Roman" w:hAnsi="Times New Roman" w:cs="Times New Roman"/>
          <w:sz w:val="24"/>
          <w:lang w:bidi="ar"/>
        </w:rPr>
        <w:t xml:space="preserve">Q33226) and </w:t>
      </w:r>
      <w:r>
        <w:rPr>
          <w:rFonts w:ascii="Times New Roman" w:eastAsia="宋体" w:hAnsi="Times New Roman" w:cs="Times New Roman"/>
          <w:sz w:val="24"/>
          <w:lang w:bidi="ar"/>
        </w:rPr>
        <w:t>Bio-Fragment Analyzer (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Bioptic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Qsep400)</w:t>
      </w:r>
      <w:r>
        <w:rPr>
          <w:rFonts w:ascii="Times New Roman" w:hAnsi="Times New Roman" w:cs="Times New Roman"/>
          <w:sz w:val="24"/>
          <w:lang w:bidi="ar"/>
        </w:rPr>
        <w:t>.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lang w:bidi="ar"/>
        </w:rPr>
        <w:t>The libraries were</w:t>
      </w: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then sequenced on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illumina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NovaSeq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6000 with PE150 read length.</w:t>
      </w:r>
    </w:p>
    <w:p w:rsidR="009D0BDD" w:rsidRDefault="009D0BDD">
      <w:pPr>
        <w:pStyle w:val="a3"/>
        <w:spacing w:before="156" w:line="360" w:lineRule="auto"/>
        <w:ind w:right="98"/>
        <w:jc w:val="both"/>
        <w:rPr>
          <w:rFonts w:eastAsiaTheme="minorEastAsia"/>
          <w:highlight w:val="yellow"/>
          <w:lang w:eastAsia="zh-CN"/>
        </w:rPr>
      </w:pPr>
    </w:p>
    <w:p w:rsidR="009D0BDD" w:rsidRPr="00985ADB" w:rsidRDefault="00985ADB">
      <w:pPr>
        <w:widowControl/>
        <w:adjustRightInd w:val="0"/>
        <w:spacing w:after="240" w:line="360" w:lineRule="auto"/>
        <w:rPr>
          <w:rFonts w:ascii="Times New Roman Regular" w:eastAsia="宋体" w:hAnsi="Times New Roman Regular" w:cs="Times New Roman Regular" w:hint="eastAsia"/>
          <w:b/>
          <w:color w:val="000000"/>
          <w:kern w:val="0"/>
          <w:sz w:val="32"/>
          <w:szCs w:val="32"/>
        </w:rPr>
      </w:pPr>
      <w:r w:rsidRPr="00985ADB">
        <w:rPr>
          <w:rFonts w:ascii="Times New Roman Regular" w:eastAsia="宋体" w:hAnsi="Times New Roman Regular" w:cs="Times New Roman Regular"/>
          <w:b/>
          <w:color w:val="000000"/>
          <w:kern w:val="0"/>
          <w:sz w:val="32"/>
          <w:szCs w:val="32"/>
        </w:rPr>
        <w:t>P</w:t>
      </w:r>
      <w:r w:rsidRPr="00985ADB">
        <w:rPr>
          <w:rFonts w:ascii="Times New Roman Regular" w:eastAsia="宋体" w:hAnsi="Times New Roman Regular" w:cs="Times New Roman Regular"/>
          <w:b/>
          <w:color w:val="000000"/>
          <w:kern w:val="0"/>
          <w:sz w:val="32"/>
          <w:szCs w:val="32"/>
        </w:rPr>
        <w:t>rocessing the single cell RNA s</w:t>
      </w:r>
      <w:r w:rsidRPr="00985ADB">
        <w:rPr>
          <w:rFonts w:ascii="Times New Roman Regular" w:eastAsia="宋体" w:hAnsi="Times New Roman Regular" w:cs="Times New Roman Regular"/>
          <w:b/>
          <w:color w:val="000000"/>
          <w:kern w:val="0"/>
          <w:sz w:val="32"/>
          <w:szCs w:val="32"/>
        </w:rPr>
        <w:t xml:space="preserve">equencing data </w:t>
      </w:r>
    </w:p>
    <w:p w:rsidR="009D0BDD" w:rsidRPr="00985ADB" w:rsidRDefault="00985ADB">
      <w:pPr>
        <w:widowControl/>
        <w:adjustRightInd w:val="0"/>
        <w:spacing w:after="240" w:line="360" w:lineRule="auto"/>
        <w:rPr>
          <w:rFonts w:ascii="Times New Roman" w:eastAsia="宋体" w:hAnsi="Times New Roman" w:cs="Times New Roman"/>
          <w:color w:val="262626"/>
          <w:kern w:val="0"/>
          <w:sz w:val="24"/>
        </w:rPr>
      </w:pPr>
      <w:r w:rsidRPr="00985ADB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The raw sequencing data was </w:t>
      </w:r>
      <w:proofErr w:type="spellStart"/>
      <w:r w:rsidRPr="00985ADB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precessed</w:t>
      </w:r>
      <w:proofErr w:type="spellEnd"/>
      <w:r w:rsidRPr="00985ADB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by </w:t>
      </w:r>
      <w:proofErr w:type="spellStart"/>
      <w:r w:rsidRPr="00985ADB">
        <w:rPr>
          <w:rFonts w:ascii="Times New Roman" w:eastAsia="宋体" w:hAnsi="Times New Roman" w:cs="Times New Roman"/>
          <w:color w:val="000000"/>
          <w:kern w:val="0"/>
          <w:sz w:val="24"/>
        </w:rPr>
        <w:t>Fastp</w:t>
      </w:r>
      <w:proofErr w:type="spellEnd"/>
      <w:r w:rsidRPr="00985ADB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firstly (Chen, Zhou et al. 2018) to trim primer sequence and low quality bases. And then we used </w:t>
      </w:r>
      <w:proofErr w:type="spellStart"/>
      <w:r w:rsidRPr="00985ADB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>SeekSoul</w:t>
      </w:r>
      <w:proofErr w:type="spellEnd"/>
      <w:r w:rsidRPr="00985ADB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 xml:space="preserve"> Tool</w:t>
      </w:r>
      <w:bookmarkStart w:id="0" w:name="_GoBack"/>
      <w:bookmarkEnd w:id="0"/>
      <w:r w:rsidRPr="00985ADB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 xml:space="preserve">s V1.0.0 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to </w:t>
      </w:r>
      <w:proofErr w:type="spellStart"/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precess</w:t>
      </w:r>
      <w:proofErr w:type="spellEnd"/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sequence data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、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cell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barcode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</w:t>
      </w:r>
      <w:proofErr w:type="spellStart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demultiplexing</w:t>
      </w:r>
      <w:proofErr w:type="spellEnd"/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and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a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ligned to human 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GRCh38 in order to obtain gene expression matrix. We used Seurat (</w:t>
      </w:r>
      <w:r w:rsidRPr="00985ADB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version 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4.0.0) to filter low quality cells, cells with number of detected genes &lt;200 or &gt;5000 were omitted, and use MAD variance normal (</w:t>
      </w:r>
      <w:proofErr w:type="spellStart"/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Pijuan</w:t>
      </w:r>
      <w:proofErr w:type="spellEnd"/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et al., 2019) to remove cells affected by mito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chondrial genes. And the remaining cells were used for the following analysis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to create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Seurat assay object.</w:t>
      </w:r>
    </w:p>
    <w:p w:rsidR="009D0BDD" w:rsidRPr="00985ADB" w:rsidRDefault="00985ADB">
      <w:pPr>
        <w:widowControl/>
        <w:adjustRightInd w:val="0"/>
        <w:spacing w:after="240"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985ADB">
        <w:rPr>
          <w:rFonts w:ascii="Times New Roman" w:eastAsia="宋体" w:hAnsi="Times New Roman" w:cs="Times New Roman"/>
          <w:bCs/>
          <w:color w:val="000000"/>
          <w:sz w:val="24"/>
        </w:rPr>
        <w:t>W</w:t>
      </w:r>
      <w:r w:rsidRPr="00985ADB">
        <w:rPr>
          <w:rFonts w:ascii="Times New Roman" w:eastAsia="宋体" w:hAnsi="Times New Roman" w:cs="Times New Roman"/>
          <w:bCs/>
          <w:color w:val="000000"/>
          <w:sz w:val="24"/>
        </w:rPr>
        <w:t>hile f</w:t>
      </w:r>
      <w:r w:rsidRPr="00985ADB">
        <w:rPr>
          <w:rFonts w:ascii="Times New Roman" w:eastAsia="宋体" w:hAnsi="Times New Roman" w:cs="Times New Roman"/>
          <w:bCs/>
          <w:color w:val="000000"/>
          <w:sz w:val="24"/>
        </w:rPr>
        <w:t>or</w:t>
      </w:r>
      <w:r w:rsidRPr="00985ADB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microbial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analysis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，</w:t>
      </w:r>
      <w:r w:rsidRPr="00985ADB">
        <w:rPr>
          <w:rFonts w:ascii="Times New Roman" w:eastAsia="宋体" w:hAnsi="Times New Roman" w:cs="Times New Roman"/>
          <w:color w:val="262626"/>
          <w:kern w:val="0"/>
          <w:sz w:val="24"/>
        </w:rPr>
        <w:t>a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fter </w:t>
      </w:r>
      <w:proofErr w:type="spellStart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demultiplexing</w:t>
      </w:r>
      <w:proofErr w:type="spellEnd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using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proofErr w:type="spellStart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Seeksoul</w:t>
      </w:r>
      <w:proofErr w:type="spellEnd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Tools, the generated Read2 files were converted to BAM format using Picard(V2.2.1). Subsequently, we utilized the </w:t>
      </w:r>
      <w:proofErr w:type="spellStart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Pysam</w:t>
      </w:r>
      <w:proofErr w:type="spellEnd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 to read the BAM files and remove duplicate reads. Specifically, for reads sharing the same barcode and unique molecular identi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fier (UMI), we retained only the read with the highest frequency.</w:t>
      </w:r>
    </w:p>
    <w:p w:rsidR="009D0BDD" w:rsidRPr="00985ADB" w:rsidRDefault="00985AD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lastRenderedPageBreak/>
        <w:t xml:space="preserve">To target the amplified regions, we aligned the </w:t>
      </w:r>
      <w:proofErr w:type="spellStart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deduplicated</w:t>
      </w:r>
      <w:proofErr w:type="spellEnd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reads to the Escherichia coli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16S </w:t>
      </w:r>
      <w:proofErr w:type="spellStart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rRNA</w:t>
      </w:r>
      <w:proofErr w:type="spellEnd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reference sequence using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BWA(v.0.7.17-r1188). Based on alignment positions, only reads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containing the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V6 region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were retained for downstream analysis.</w:t>
      </w:r>
    </w:p>
    <w:p w:rsidR="009D0BDD" w:rsidRPr="00985ADB" w:rsidRDefault="00985AD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Next, we processed the V6-containing reads with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bookmarkStart w:id="1" w:name="OLE_LINK1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QIIME2</w:t>
      </w:r>
      <w:bookmarkEnd w:id="1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(v</w:t>
      </w:r>
      <w:r w:rsidRPr="00985ADB">
        <w:rPr>
          <w:rFonts w:ascii="Times New Roman" w:hAnsi="Times New Roman" w:cs="Times New Roman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2023.2.0)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for 16S </w:t>
      </w:r>
      <w:proofErr w:type="spellStart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rRNA</w:t>
      </w:r>
      <w:proofErr w:type="spellEnd"/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data analysis. During this step, we reformatted the data into a QIIME2-compatible format by combining the barcod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e and UMI into a single identifier required for QIIME2’s pipeline. The resulting genus-level feature table generated by QIIME2 was then integrated into Seurat for joint analysis by creating a microbe assay object. Finally, we performed integrated transcrip</w:t>
      </w:r>
      <w:r w:rsidRPr="00985ADB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tomic and microbial community analysis using this object.</w:t>
      </w:r>
    </w:p>
    <w:p w:rsidR="009D0BDD" w:rsidRDefault="009D0BDD">
      <w:pPr>
        <w:ind w:firstLineChars="100" w:firstLine="240"/>
        <w:rPr>
          <w:rFonts w:ascii="Times New Roman" w:hAnsi="Times New Roman" w:cs="Times New Roman"/>
          <w:sz w:val="24"/>
        </w:rPr>
      </w:pPr>
    </w:p>
    <w:p w:rsidR="009D0BDD" w:rsidRDefault="00985ADB">
      <w:pPr>
        <w:ind w:firstLineChars="100" w:firstLine="24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  <w:lang w:bidi="ar"/>
        </w:rPr>
        <w:t xml:space="preserve"> </w:t>
      </w:r>
    </w:p>
    <w:p w:rsidR="009D0BDD" w:rsidRPr="00985ADB" w:rsidRDefault="00985ADB">
      <w:pPr>
        <w:widowControl/>
        <w:autoSpaceDE w:val="0"/>
        <w:autoSpaceDN w:val="0"/>
        <w:adjustRightInd w:val="0"/>
        <w:spacing w:after="240" w:line="360" w:lineRule="auto"/>
        <w:rPr>
          <w:rFonts w:ascii="Times New Roman Regular" w:eastAsia="宋体" w:hAnsi="Times New Roman Regular" w:cs="Times New Roman Regular" w:hint="eastAsia"/>
          <w:b/>
          <w:bCs/>
          <w:color w:val="000000"/>
          <w:kern w:val="0"/>
          <w:sz w:val="32"/>
          <w:szCs w:val="32"/>
        </w:rPr>
      </w:pPr>
      <w:r w:rsidRPr="00985ADB">
        <w:rPr>
          <w:rFonts w:ascii="Times New Roman Regular" w:eastAsia="宋体" w:hAnsi="Times New Roman Regular" w:cs="Times New Roman Regular"/>
          <w:b/>
          <w:bCs/>
          <w:color w:val="000000"/>
          <w:kern w:val="0"/>
          <w:sz w:val="32"/>
          <w:szCs w:val="32"/>
        </w:rPr>
        <w:t>R</w:t>
      </w:r>
      <w:r w:rsidRPr="00985ADB">
        <w:rPr>
          <w:rFonts w:ascii="Times New Roman Regular" w:eastAsia="宋体" w:hAnsi="Times New Roman Regular" w:cs="Times New Roman Regular"/>
          <w:b/>
          <w:bCs/>
          <w:color w:val="000000"/>
          <w:kern w:val="0"/>
          <w:sz w:val="32"/>
          <w:szCs w:val="32"/>
        </w:rPr>
        <w:t>eference:</w:t>
      </w:r>
    </w:p>
    <w:p w:rsidR="009D0BDD" w:rsidRPr="00985ADB" w:rsidRDefault="00985ADB">
      <w:pPr>
        <w:numPr>
          <w:ilvl w:val="0"/>
          <w:numId w:val="1"/>
        </w:numPr>
        <w:rPr>
          <w:rFonts w:ascii="Times New Roman" w:eastAsia="宋体" w:hAnsi="Times New Roman" w:cs="Times New Roman"/>
          <w:kern w:val="0"/>
          <w:sz w:val="24"/>
        </w:rPr>
      </w:pPr>
      <w:r w:rsidRPr="00985ADB">
        <w:rPr>
          <w:rFonts w:ascii="Times New Roman" w:eastAsia="宋体" w:hAnsi="Times New Roman" w:cs="Times New Roman"/>
          <w:kern w:val="0"/>
          <w:sz w:val="24"/>
        </w:rPr>
        <w:t>C</w:t>
      </w:r>
      <w:r w:rsidRPr="00985ADB">
        <w:rPr>
          <w:rFonts w:ascii="Times New Roman" w:eastAsia="宋体" w:hAnsi="Times New Roman" w:cs="Times New Roman"/>
          <w:kern w:val="0"/>
          <w:sz w:val="24"/>
        </w:rPr>
        <w:t xml:space="preserve">hen, </w:t>
      </w:r>
      <w:proofErr w:type="spellStart"/>
      <w:r w:rsidRPr="00985ADB">
        <w:rPr>
          <w:rFonts w:ascii="Times New Roman" w:eastAsia="宋体" w:hAnsi="Times New Roman" w:cs="Times New Roman"/>
          <w:kern w:val="0"/>
          <w:sz w:val="24"/>
        </w:rPr>
        <w:t>Shifu</w:t>
      </w:r>
      <w:proofErr w:type="spellEnd"/>
      <w:r w:rsidRPr="00985ADB">
        <w:rPr>
          <w:rFonts w:ascii="Times New Roman" w:eastAsia="宋体" w:hAnsi="Times New Roman" w:cs="Times New Roman"/>
          <w:kern w:val="0"/>
          <w:sz w:val="24"/>
        </w:rPr>
        <w:t xml:space="preserve"> et al. “</w:t>
      </w:r>
      <w:proofErr w:type="spellStart"/>
      <w:r w:rsidRPr="00985ADB">
        <w:rPr>
          <w:rFonts w:ascii="Times New Roman" w:eastAsia="宋体" w:hAnsi="Times New Roman" w:cs="Times New Roman"/>
          <w:kern w:val="0"/>
          <w:sz w:val="24"/>
        </w:rPr>
        <w:t>fastp</w:t>
      </w:r>
      <w:proofErr w:type="spellEnd"/>
      <w:r w:rsidRPr="00985ADB">
        <w:rPr>
          <w:rFonts w:ascii="Times New Roman" w:eastAsia="宋体" w:hAnsi="Times New Roman" w:cs="Times New Roman"/>
          <w:kern w:val="0"/>
          <w:sz w:val="24"/>
        </w:rPr>
        <w:t>: an ultra-fast all-in-one FASTQ preprocessor.” Bioinformatics (Oxford, England) vol. 34,17 (2018): i884-i890. doi:10.1093/bioinformatics/bty560</w:t>
      </w:r>
      <w:r w:rsidRPr="00985ADB">
        <w:rPr>
          <w:rFonts w:ascii="Times New Roman" w:eastAsia="宋体" w:hAnsi="Times New Roman" w:cs="Times New Roman" w:hint="eastAsia"/>
          <w:kern w:val="0"/>
          <w:sz w:val="24"/>
        </w:rPr>
        <w:t>.</w:t>
      </w:r>
    </w:p>
    <w:p w:rsidR="009D0BDD" w:rsidRPr="00985ADB" w:rsidRDefault="00985ADB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proofErr w:type="spellStart"/>
      <w:r w:rsidRPr="00985ADB">
        <w:rPr>
          <w:rFonts w:ascii="Times New Roman" w:eastAsia="宋体" w:hAnsi="Times New Roman" w:cs="Times New Roman"/>
          <w:kern w:val="0"/>
          <w:sz w:val="24"/>
          <w:lang w:eastAsia="zh-Hans"/>
        </w:rPr>
        <w:t>P</w:t>
      </w:r>
      <w:r w:rsidRPr="00985ADB">
        <w:rPr>
          <w:rFonts w:ascii="Times New Roman" w:eastAsia="宋体" w:hAnsi="Times New Roman" w:cs="Times New Roman"/>
          <w:kern w:val="0"/>
          <w:sz w:val="24"/>
          <w:lang w:eastAsia="zh-Hans"/>
        </w:rPr>
        <w:t>ijuan</w:t>
      </w:r>
      <w:proofErr w:type="spellEnd"/>
      <w:r w:rsidRPr="00985ADB">
        <w:rPr>
          <w:rFonts w:ascii="Times New Roman" w:eastAsia="宋体" w:hAnsi="Times New Roman" w:cs="Times New Roman"/>
          <w:kern w:val="0"/>
          <w:sz w:val="24"/>
          <w:lang w:eastAsia="zh-Hans"/>
        </w:rPr>
        <w:t xml:space="preserve">-Sala, </w:t>
      </w:r>
      <w:r w:rsidRPr="00985ADB">
        <w:rPr>
          <w:rFonts w:ascii="Times New Roman" w:eastAsia="宋体" w:hAnsi="Times New Roman" w:cs="Times New Roman"/>
          <w:kern w:val="0"/>
          <w:sz w:val="24"/>
          <w:lang w:eastAsia="zh-Hans"/>
        </w:rPr>
        <w:t>Blanca et al. “A single-cell molecular map of mouse gastrulation and early</w:t>
      </w:r>
      <w:r w:rsidRPr="00985ADB">
        <w:rPr>
          <w:rFonts w:ascii="Times New Roman" w:eastAsia="宋体" w:hAnsi="Times New Roman" w:cs="Times New Roman" w:hint="eastAsia"/>
          <w:kern w:val="0"/>
          <w:sz w:val="24"/>
        </w:rPr>
        <w:t xml:space="preserve"> </w:t>
      </w:r>
      <w:r w:rsidRPr="00985ADB">
        <w:rPr>
          <w:rFonts w:ascii="Times New Roman" w:eastAsia="宋体" w:hAnsi="Times New Roman" w:cs="Times New Roman"/>
          <w:kern w:val="0"/>
          <w:sz w:val="24"/>
          <w:lang w:eastAsia="zh-Hans"/>
        </w:rPr>
        <w:t>organogenesis.” Nature vol. 566,7745 (2019): 490-495. doi:10.1038/s41586-019-0933-9</w:t>
      </w:r>
      <w:r w:rsidRPr="00985ADB">
        <w:rPr>
          <w:rFonts w:ascii="Times New Roman" w:eastAsia="宋体" w:hAnsi="Times New Roman" w:cs="Times New Roman" w:hint="eastAsia"/>
          <w:kern w:val="0"/>
          <w:sz w:val="24"/>
        </w:rPr>
        <w:t>.</w:t>
      </w:r>
    </w:p>
    <w:p w:rsidR="009D0BDD" w:rsidRDefault="009D0BDD">
      <w:pPr>
        <w:spacing w:line="360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</w:p>
    <w:sectPr w:rsidR="009D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Regula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FB50D9"/>
    <w:multiLevelType w:val="singleLevel"/>
    <w:tmpl w:val="BDFB50D9"/>
    <w:lvl w:ilvl="0">
      <w:start w:val="2"/>
      <w:numFmt w:val="decimal"/>
      <w:suff w:val="space"/>
      <w:lvlText w:val="[%1]"/>
      <w:lvlJc w:val="left"/>
      <w:rPr>
        <w:rFonts w:ascii="Times New Roman Regular" w:hAnsi="Times New Roman Regular" w:cs="Times New Roman Regular" w:hint="default"/>
        <w:sz w:val="20"/>
        <w:szCs w:val="20"/>
      </w:rPr>
    </w:lvl>
  </w:abstractNum>
  <w:abstractNum w:abstractNumId="1" w15:restartNumberingAfterBreak="0">
    <w:nsid w:val="4D4AAC1B"/>
    <w:multiLevelType w:val="singleLevel"/>
    <w:tmpl w:val="4D4AAC1B"/>
    <w:lvl w:ilvl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TVjZTcyZTEwYjQwNTM4MzMzNzBlNmE3MmEyOTgifQ=="/>
  </w:docVars>
  <w:rsids>
    <w:rsidRoot w:val="00BC3634"/>
    <w:rsid w:val="003B42C8"/>
    <w:rsid w:val="00441EFD"/>
    <w:rsid w:val="0089723A"/>
    <w:rsid w:val="00985ADB"/>
    <w:rsid w:val="009D0BDD"/>
    <w:rsid w:val="00BC3634"/>
    <w:rsid w:val="113C20A1"/>
    <w:rsid w:val="20AE2A9A"/>
    <w:rsid w:val="418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D202F"/>
  <w15:docId w15:val="{67FA12C6-8EC5-42B2-920F-9A5D2040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paragraph" w:styleId="a5">
    <w:name w:val="Normal (Web)"/>
    <w:basedOn w:val="a"/>
    <w:autoRedefine/>
    <w:uiPriority w:val="99"/>
    <w:qFormat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</w:rPr>
  </w:style>
  <w:style w:type="character" w:styleId="a6">
    <w:name w:val="Strong"/>
    <w:basedOn w:val="a0"/>
    <w:autoRedefine/>
    <w:uiPriority w:val="22"/>
    <w:qFormat/>
    <w:rPr>
      <w:b/>
      <w:bCs/>
    </w:rPr>
  </w:style>
  <w:style w:type="character" w:styleId="a7">
    <w:name w:val="Emphasis"/>
    <w:basedOn w:val="a0"/>
    <w:autoRedefine/>
    <w:uiPriority w:val="20"/>
    <w:qFormat/>
    <w:rPr>
      <w:i/>
      <w:iCs/>
    </w:rPr>
  </w:style>
  <w:style w:type="character" w:customStyle="1" w:styleId="a4">
    <w:name w:val="正文文本 字符"/>
    <w:basedOn w:val="a0"/>
    <w:link w:val="a3"/>
    <w:autoRedefine/>
    <w:uiPriority w:val="1"/>
    <w:rPr>
      <w:rFonts w:eastAsia="Times New Roman"/>
      <w:sz w:val="21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蒋凡</dc:creator>
  <cp:lastModifiedBy>高瑞峰</cp:lastModifiedBy>
  <cp:revision>5</cp:revision>
  <dcterms:created xsi:type="dcterms:W3CDTF">2014-10-29T12:08:00Z</dcterms:created>
  <dcterms:modified xsi:type="dcterms:W3CDTF">2026-02-12T04:48:00Z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eyJoZGlkIjoiYmM1MzhjZWMxNzE2ZmFlOGU1OTU1YWI5YWNlY2JjZWEiLCJ1c2VySWQiOiIzNTgxNDIwMTkifQ==</vt:lpwstr>
  </property>
  <property fmtid="{D5CDD505-2E9C-101B-9397-08002B2CF9AE}" pid="4" name="ICV">
    <vt:lpwstr>2A731BC7D0D04CF99FC228826BED50B6_12</vt:lpwstr>
  </property>
</Properties>
</file>