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BA42" w14:textId="5395E3F4" w:rsidR="00757290" w:rsidRPr="00371500" w:rsidRDefault="00757290" w:rsidP="00757290">
      <w:pPr>
        <w:pStyle w:val="HTML"/>
        <w:widowControl/>
        <w:shd w:val="clear" w:color="auto" w:fill="FFFFFF"/>
        <w:spacing w:line="360" w:lineRule="auto"/>
        <w:jc w:val="both"/>
        <w:rPr>
          <w:rFonts w:ascii="Times New Roman" w:hAnsi="Times New Roman" w:hint="eastAsia"/>
          <w:color w:val="000000"/>
          <w:sz w:val="32"/>
          <w:szCs w:val="32"/>
          <w:lang w:bidi="ar"/>
        </w:rPr>
      </w:pPr>
      <w:r w:rsidRPr="00371500">
        <w:rPr>
          <w:rFonts w:ascii="Times New Roman" w:hAnsi="Times New Roman" w:hint="eastAsia"/>
          <w:color w:val="000000"/>
          <w:sz w:val="32"/>
          <w:szCs w:val="32"/>
          <w:lang w:bidi="ar"/>
        </w:rPr>
        <w:t>TCR Analysis</w:t>
      </w:r>
    </w:p>
    <w:p w14:paraId="676B85C8" w14:textId="4AEE60E8" w:rsidR="00757290" w:rsidRDefault="00371500" w:rsidP="00757290">
      <w:pPr>
        <w:pStyle w:val="HTML"/>
        <w:widowControl/>
        <w:shd w:val="clear" w:color="auto" w:fill="FFFFFF"/>
        <w:spacing w:line="360" w:lineRule="auto"/>
        <w:jc w:val="both"/>
        <w:rPr>
          <w:rFonts w:ascii="Times New Roman" w:hAnsi="Times New Roman" w:hint="eastAsia"/>
          <w:color w:val="000000"/>
          <w:sz w:val="24"/>
          <w:szCs w:val="24"/>
          <w:lang w:bidi="ar"/>
        </w:rPr>
      </w:pPr>
      <w:r>
        <w:rPr>
          <w:noProof/>
        </w:rPr>
        <w:drawing>
          <wp:inline distT="0" distB="0" distL="0" distR="0" wp14:anchorId="36087189" wp14:editId="1AB5D347">
            <wp:extent cx="5274310" cy="1165860"/>
            <wp:effectExtent l="0" t="0" r="2540" b="0"/>
            <wp:docPr id="11917895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895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1AF5E" w14:textId="5759F60F" w:rsidR="00060614" w:rsidRPr="00757290" w:rsidRDefault="00000000" w:rsidP="00757290">
      <w:pPr>
        <w:pStyle w:val="HTML"/>
        <w:widowControl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bidi="ar"/>
        </w:rPr>
      </w:pPr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 xml:space="preserve">Using the </w:t>
      </w:r>
      <w:proofErr w:type="spellStart"/>
      <w:proofErr w:type="gramStart"/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>scRepertoire</w:t>
      </w:r>
      <w:proofErr w:type="spellEnd"/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>(</w:t>
      </w:r>
      <w:proofErr w:type="gramEnd"/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 xml:space="preserve">version </w:t>
      </w:r>
      <w:proofErr w:type="gramStart"/>
      <w:r w:rsidRPr="00757290">
        <w:rPr>
          <w:rFonts w:ascii="Times New Roman" w:eastAsia="var(--jp-code-font-family)" w:hAnsi="Times New Roman"/>
          <w:sz w:val="24"/>
          <w:szCs w:val="24"/>
          <w:shd w:val="clear" w:color="auto" w:fill="FFFFFF"/>
        </w:rPr>
        <w:t>1.8.0</w:t>
      </w:r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>)</w:t>
      </w:r>
      <w:r w:rsidR="00757290" w:rsidRPr="00E645C5">
        <w:rPr>
          <w:rFonts w:ascii="Times New Roman" w:hAnsi="Times New Roman"/>
          <w:color w:val="000000"/>
          <w:sz w:val="24"/>
          <w:szCs w:val="24"/>
          <w:vertAlign w:val="superscript"/>
          <w:lang w:bidi="ar"/>
        </w:rPr>
        <w:t>[</w:t>
      </w:r>
      <w:proofErr w:type="gramEnd"/>
      <w:r w:rsidRPr="00E645C5">
        <w:rPr>
          <w:rFonts w:ascii="Times New Roman" w:eastAsia="AdvOT1ef757c0" w:hAnsi="Times New Roman"/>
          <w:color w:val="000000"/>
          <w:sz w:val="24"/>
          <w:szCs w:val="24"/>
          <w:vertAlign w:val="superscript"/>
          <w:lang w:bidi="ar"/>
        </w:rPr>
        <w:t>1</w:t>
      </w:r>
      <w:r w:rsidR="00757290" w:rsidRPr="00E645C5">
        <w:rPr>
          <w:rFonts w:ascii="Times New Roman" w:hAnsi="Times New Roman"/>
          <w:color w:val="000000"/>
          <w:sz w:val="24"/>
          <w:szCs w:val="24"/>
          <w:vertAlign w:val="superscript"/>
          <w:lang w:bidi="ar"/>
        </w:rPr>
        <w:t>]</w:t>
      </w:r>
      <w:r w:rsidRPr="00757290">
        <w:rPr>
          <w:rFonts w:ascii="Times New Roman" w:eastAsia="AdvOT1ef757c0" w:hAnsi="Times New Roman"/>
          <w:color w:val="0000FF"/>
          <w:sz w:val="24"/>
          <w:szCs w:val="24"/>
          <w:lang w:bidi="ar"/>
        </w:rPr>
        <w:t xml:space="preserve"> </w:t>
      </w:r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>package, sample-speci</w:t>
      </w:r>
      <w:r w:rsidRPr="00757290">
        <w:rPr>
          <w:rFonts w:ascii="Times New Roman" w:eastAsia="AdvOT1ef757c0 + fb" w:hAnsi="Times New Roman"/>
          <w:color w:val="000000"/>
          <w:sz w:val="24"/>
          <w:szCs w:val="24"/>
          <w:lang w:bidi="ar"/>
        </w:rPr>
        <w:t>fi</w:t>
      </w:r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 xml:space="preserve">c consensus annotation </w:t>
      </w:r>
      <w:r w:rsidRPr="00757290">
        <w:rPr>
          <w:rFonts w:ascii="Times New Roman" w:eastAsia="AdvOT1ef757c0 + fb" w:hAnsi="Times New Roman"/>
          <w:color w:val="000000"/>
          <w:sz w:val="24"/>
          <w:szCs w:val="24"/>
          <w:lang w:bidi="ar"/>
        </w:rPr>
        <w:t>fi</w:t>
      </w:r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 xml:space="preserve">les were consolidated into a list of TCR sequencing results using </w:t>
      </w:r>
      <w:proofErr w:type="spellStart"/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>combineTCR</w:t>
      </w:r>
      <w:proofErr w:type="spellEnd"/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 xml:space="preserve"> function, and then integrated with the Seurat object using the </w:t>
      </w:r>
      <w:proofErr w:type="spellStart"/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>combineExpression</w:t>
      </w:r>
      <w:proofErr w:type="spellEnd"/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 xml:space="preserve"> function. Clonotypes were called based on </w:t>
      </w:r>
      <w:r w:rsidRPr="00757290">
        <w:rPr>
          <w:rFonts w:ascii="Times New Roman" w:eastAsia="AdvOT1ef757c0" w:hAnsi="Times New Roman"/>
          <w:color w:val="FF0000"/>
          <w:sz w:val="24"/>
          <w:szCs w:val="24"/>
          <w:lang w:bidi="ar"/>
        </w:rPr>
        <w:t>the CDR3 nucleotide sequence or amino acid sequence(</w:t>
      </w:r>
      <w:r w:rsidRPr="00757290">
        <w:rPr>
          <w:rFonts w:ascii="宋体" w:eastAsia="宋体" w:hAnsi="宋体" w:cs="宋体" w:hint="eastAsia"/>
          <w:color w:val="FF0000"/>
          <w:sz w:val="24"/>
          <w:szCs w:val="24"/>
          <w:lang w:bidi="ar"/>
        </w:rPr>
        <w:t>克隆方法</w:t>
      </w:r>
      <w:r w:rsidRPr="00757290">
        <w:rPr>
          <w:rFonts w:ascii="Times New Roman" w:eastAsia="AdvOT1ef757c0" w:hAnsi="Times New Roman"/>
          <w:color w:val="FF0000"/>
          <w:sz w:val="24"/>
          <w:szCs w:val="24"/>
          <w:lang w:bidi="ar"/>
        </w:rPr>
        <w:t>)</w:t>
      </w:r>
      <w:r w:rsidRPr="00757290">
        <w:rPr>
          <w:rFonts w:ascii="Times New Roman" w:eastAsia="AdvOT1ef757c0" w:hAnsi="Times New Roman"/>
          <w:color w:val="000000"/>
          <w:sz w:val="24"/>
          <w:szCs w:val="24"/>
          <w:lang w:bidi="ar"/>
        </w:rPr>
        <w:t>. The following d</w:t>
      </w:r>
      <w:r w:rsidRPr="00757290">
        <w:rPr>
          <w:rFonts w:ascii="Times New Roman" w:eastAsia="AdvOTdd63dae3" w:hAnsi="Times New Roman"/>
          <w:color w:val="000000"/>
          <w:sz w:val="24"/>
          <w:szCs w:val="24"/>
          <w:lang w:bidi="ar"/>
        </w:rPr>
        <w:t xml:space="preserve">iversity and clonality </w:t>
      </w:r>
      <w:proofErr w:type="gramStart"/>
      <w:r w:rsidRPr="00757290">
        <w:rPr>
          <w:rFonts w:ascii="Times New Roman" w:eastAsia="AdvOTdd63dae3" w:hAnsi="Times New Roman"/>
          <w:color w:val="000000"/>
          <w:sz w:val="24"/>
          <w:szCs w:val="24"/>
          <w:lang w:bidi="ar"/>
        </w:rPr>
        <w:t>analysis  were</w:t>
      </w:r>
      <w:proofErr w:type="gramEnd"/>
      <w:r w:rsidRPr="00757290">
        <w:rPr>
          <w:rFonts w:ascii="Times New Roman" w:eastAsia="AdvOTdd63dae3" w:hAnsi="Times New Roman"/>
          <w:color w:val="000000"/>
          <w:sz w:val="24"/>
          <w:szCs w:val="24"/>
          <w:lang w:bidi="ar"/>
        </w:rPr>
        <w:t xml:space="preserve"> analyzed following the official tutorial of </w:t>
      </w:r>
      <w:proofErr w:type="spellStart"/>
      <w:r w:rsidRPr="00757290">
        <w:rPr>
          <w:rFonts w:ascii="Times New Roman" w:eastAsia="AdvOTcc1f6510 . I" w:hAnsi="Times New Roman"/>
          <w:color w:val="000000"/>
          <w:sz w:val="24"/>
          <w:szCs w:val="24"/>
          <w:lang w:bidi="ar"/>
        </w:rPr>
        <w:t>scRepertoire</w:t>
      </w:r>
      <w:proofErr w:type="spellEnd"/>
      <w:r w:rsidRPr="00757290">
        <w:rPr>
          <w:rFonts w:ascii="Times New Roman" w:eastAsia="AdvOTcc1f6510 . I" w:hAnsi="Times New Roman"/>
          <w:color w:val="000000"/>
          <w:sz w:val="24"/>
          <w:szCs w:val="24"/>
          <w:lang w:bidi="ar"/>
        </w:rPr>
        <w:t xml:space="preserve"> </w:t>
      </w:r>
      <w:r w:rsidRPr="00757290">
        <w:rPr>
          <w:rFonts w:ascii="Times New Roman" w:eastAsia="AdvOTdd63dae3" w:hAnsi="Times New Roman"/>
          <w:color w:val="000000"/>
          <w:sz w:val="24"/>
          <w:szCs w:val="24"/>
          <w:lang w:bidi="ar"/>
        </w:rPr>
        <w:t>package. For a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nalysis of </w:t>
      </w:r>
      <w:r w:rsidRPr="00757290">
        <w:rPr>
          <w:rFonts w:ascii="Times New Roman" w:eastAsia="HardingText-RegularItalic" w:hAnsi="Times New Roman"/>
          <w:i/>
          <w:iCs/>
          <w:color w:val="000000"/>
          <w:sz w:val="24"/>
          <w:szCs w:val="24"/>
          <w:lang w:bidi="ar"/>
        </w:rPr>
        <w:t>V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 and </w:t>
      </w:r>
      <w:r w:rsidRPr="00757290">
        <w:rPr>
          <w:rFonts w:ascii="Times New Roman" w:eastAsia="HardingText-RegularItalic" w:hAnsi="Times New Roman"/>
          <w:i/>
          <w:iCs/>
          <w:color w:val="000000"/>
          <w:sz w:val="24"/>
          <w:szCs w:val="24"/>
          <w:lang w:bidi="ar"/>
        </w:rPr>
        <w:t>J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 gene usage, heatmap visualization was generated using the </w:t>
      </w:r>
      <w:proofErr w:type="spellStart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CalcSegmentUsage</w:t>
      </w:r>
      <w:proofErr w:type="spellEnd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 function of </w:t>
      </w:r>
      <w:proofErr w:type="spellStart"/>
      <w:proofErr w:type="gramStart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VDJtools</w:t>
      </w:r>
      <w:proofErr w:type="spellEnd"/>
      <w:r w:rsidRPr="00757290">
        <w:rPr>
          <w:rFonts w:ascii="Times New Roman" w:eastAsia="HardingText-Regular" w:hAnsi="Times New Roman"/>
          <w:color w:val="000000"/>
          <w:sz w:val="24"/>
          <w:szCs w:val="24"/>
          <w:shd w:val="clear" w:color="auto" w:fill="FFFFFF"/>
          <w:lang w:bidi="ar"/>
        </w:rPr>
        <w:t>(</w:t>
      </w:r>
      <w:proofErr w:type="gramEnd"/>
      <w:r w:rsidRPr="00757290">
        <w:rPr>
          <w:rFonts w:ascii="Times New Roman" w:eastAsia="HardingText-Regular" w:hAnsi="Times New Roman"/>
          <w:color w:val="000000"/>
          <w:sz w:val="24"/>
          <w:szCs w:val="24"/>
          <w:shd w:val="clear" w:color="auto" w:fill="FFFFFF"/>
          <w:lang w:bidi="ar"/>
        </w:rPr>
        <w:t xml:space="preserve">version </w:t>
      </w:r>
      <w:proofErr w:type="gramStart"/>
      <w:r w:rsidRPr="00757290">
        <w:rPr>
          <w:rFonts w:ascii="Times New Roman" w:eastAsia="HardingText-Regular" w:hAnsi="Times New Roman"/>
          <w:color w:val="000000"/>
          <w:sz w:val="24"/>
          <w:szCs w:val="24"/>
          <w:shd w:val="clear" w:color="auto" w:fill="FFFFFF"/>
          <w:lang w:bidi="ar"/>
        </w:rPr>
        <w:t>1.1.4)</w:t>
      </w:r>
      <w:r w:rsidR="00757290" w:rsidRPr="00E645C5">
        <w:rPr>
          <w:rFonts w:ascii="Times New Roman" w:eastAsia="宋体" w:hAnsi="Times New Roman"/>
          <w:color w:val="000000"/>
          <w:sz w:val="24"/>
          <w:szCs w:val="24"/>
          <w:vertAlign w:val="superscript"/>
          <w:lang w:bidi="ar"/>
        </w:rPr>
        <w:t>[</w:t>
      </w:r>
      <w:proofErr w:type="gramEnd"/>
      <w:r w:rsidRPr="00E645C5">
        <w:rPr>
          <w:rFonts w:ascii="Times New Roman" w:eastAsia="HardingText-Regular" w:hAnsi="Times New Roman"/>
          <w:color w:val="000000"/>
          <w:sz w:val="24"/>
          <w:szCs w:val="24"/>
          <w:vertAlign w:val="superscript"/>
          <w:lang w:bidi="ar"/>
        </w:rPr>
        <w:t>2</w:t>
      </w:r>
      <w:r w:rsidR="00757290" w:rsidRPr="00E645C5">
        <w:rPr>
          <w:rFonts w:ascii="Times New Roman" w:hAnsi="Times New Roman"/>
          <w:color w:val="000000"/>
          <w:sz w:val="24"/>
          <w:szCs w:val="24"/>
          <w:vertAlign w:val="superscript"/>
          <w:lang w:bidi="ar"/>
        </w:rPr>
        <w:t>]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,</w:t>
      </w:r>
      <w:r w:rsidR="00E645C5">
        <w:rPr>
          <w:rFonts w:ascii="Times New Roman" w:hAnsi="Times New Roman" w:hint="eastAsia"/>
          <w:color w:val="000000"/>
          <w:sz w:val="24"/>
          <w:szCs w:val="24"/>
          <w:lang w:bidi="ar"/>
        </w:rPr>
        <w:t xml:space="preserve"> </w:t>
      </w:r>
      <w:proofErr w:type="spellStart"/>
      <w:r w:rsidRPr="00757290">
        <w:rPr>
          <w:rFonts w:ascii="Times New Roman" w:eastAsia="AdvOTdd63dae3" w:hAnsi="Times New Roman"/>
          <w:color w:val="000000"/>
          <w:sz w:val="24"/>
          <w:szCs w:val="24"/>
          <w:lang w:bidi="ar"/>
        </w:rPr>
        <w:t>Circos</w:t>
      </w:r>
      <w:proofErr w:type="spellEnd"/>
      <w:r w:rsidRPr="00757290">
        <w:rPr>
          <w:rFonts w:ascii="Times New Roman" w:eastAsia="AdvOTdd63dae3" w:hAnsi="Times New Roman"/>
          <w:color w:val="000000"/>
          <w:sz w:val="24"/>
          <w:szCs w:val="24"/>
          <w:lang w:bidi="ar"/>
        </w:rPr>
        <w:t xml:space="preserve"> plots 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was generated using the </w:t>
      </w:r>
      <w:proofErr w:type="spellStart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PlotFancyVJUsage</w:t>
      </w:r>
      <w:proofErr w:type="spellEnd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 function of </w:t>
      </w:r>
      <w:proofErr w:type="spellStart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VDJtools</w:t>
      </w:r>
      <w:proofErr w:type="spellEnd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. Sample clonal diversity (Shannon and chao1 index) was analyzed using R-packet </w:t>
      </w:r>
      <w:proofErr w:type="spellStart"/>
      <w:proofErr w:type="gramStart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immunarch</w:t>
      </w:r>
      <w:proofErr w:type="spellEnd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(</w:t>
      </w:r>
      <w:proofErr w:type="gramEnd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version </w:t>
      </w:r>
      <w:proofErr w:type="gramStart"/>
      <w:r w:rsidRPr="00757290">
        <w:rPr>
          <w:rFonts w:ascii="Times New Roman" w:eastAsia="var(--jp-code-font-family)" w:hAnsi="Times New Roman"/>
          <w:sz w:val="24"/>
          <w:szCs w:val="24"/>
          <w:shd w:val="clear" w:color="auto" w:fill="FFFFFF"/>
        </w:rPr>
        <w:t>0.9.0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)</w:t>
      </w:r>
      <w:r w:rsidR="00757290" w:rsidRPr="00E645C5">
        <w:rPr>
          <w:rFonts w:ascii="Times New Roman" w:hAnsi="Times New Roman"/>
          <w:color w:val="000000"/>
          <w:sz w:val="24"/>
          <w:szCs w:val="24"/>
          <w:vertAlign w:val="superscript"/>
          <w:lang w:bidi="ar"/>
        </w:rPr>
        <w:t>[</w:t>
      </w:r>
      <w:proofErr w:type="gramEnd"/>
      <w:r w:rsidRPr="00E645C5">
        <w:rPr>
          <w:rFonts w:ascii="Times New Roman" w:eastAsia="HardingText-Regular" w:hAnsi="Times New Roman"/>
          <w:color w:val="000000"/>
          <w:sz w:val="24"/>
          <w:szCs w:val="24"/>
          <w:vertAlign w:val="superscript"/>
          <w:lang w:bidi="ar"/>
        </w:rPr>
        <w:t>3</w:t>
      </w:r>
      <w:r w:rsidR="00757290" w:rsidRPr="00E645C5">
        <w:rPr>
          <w:rFonts w:ascii="Times New Roman" w:hAnsi="Times New Roman"/>
          <w:color w:val="000000"/>
          <w:sz w:val="24"/>
          <w:szCs w:val="24"/>
          <w:vertAlign w:val="superscript"/>
          <w:lang w:bidi="ar"/>
        </w:rPr>
        <w:t>]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. T cell epitope annotation uses the </w:t>
      </w:r>
      <w:proofErr w:type="spellStart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McPAS</w:t>
      </w:r>
      <w:proofErr w:type="spellEnd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-TCR database, and the CDR3 sequence of detected T cells is queried in the database to obtain the corresponding antigen information. Cell diffusion diagram of T cells was generated using the R package </w:t>
      </w:r>
      <w:proofErr w:type="gramStart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Destiny(</w:t>
      </w:r>
      <w:proofErr w:type="gramEnd"/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 xml:space="preserve">version </w:t>
      </w:r>
      <w:proofErr w:type="gramStart"/>
      <w:r w:rsidRPr="00757290">
        <w:rPr>
          <w:rFonts w:ascii="Times New Roman" w:eastAsia="var(--jp-code-font-family)" w:hAnsi="Times New Roman"/>
          <w:sz w:val="24"/>
          <w:szCs w:val="24"/>
          <w:shd w:val="clear" w:color="auto" w:fill="FFFFFF"/>
        </w:rPr>
        <w:t>3.12.0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)</w:t>
      </w:r>
      <w:r w:rsidR="00757290" w:rsidRPr="00E645C5">
        <w:rPr>
          <w:rFonts w:ascii="Times New Roman" w:hAnsi="Times New Roman"/>
          <w:color w:val="000000"/>
          <w:sz w:val="24"/>
          <w:szCs w:val="24"/>
          <w:vertAlign w:val="superscript"/>
          <w:lang w:bidi="ar"/>
        </w:rPr>
        <w:t>[</w:t>
      </w:r>
      <w:proofErr w:type="gramEnd"/>
      <w:r w:rsidRPr="00E645C5">
        <w:rPr>
          <w:rFonts w:ascii="Times New Roman" w:eastAsia="HardingText-Regular" w:hAnsi="Times New Roman"/>
          <w:color w:val="000000"/>
          <w:sz w:val="24"/>
          <w:szCs w:val="24"/>
          <w:vertAlign w:val="superscript"/>
          <w:lang w:bidi="ar"/>
        </w:rPr>
        <w:t>4</w:t>
      </w:r>
      <w:r w:rsidR="00757290" w:rsidRPr="00E645C5">
        <w:rPr>
          <w:rFonts w:ascii="Times New Roman" w:hAnsi="Times New Roman"/>
          <w:color w:val="000000"/>
          <w:sz w:val="24"/>
          <w:szCs w:val="24"/>
          <w:vertAlign w:val="superscript"/>
          <w:lang w:bidi="ar"/>
        </w:rPr>
        <w:t>]</w:t>
      </w:r>
      <w:r w:rsidRPr="00757290">
        <w:rPr>
          <w:rFonts w:ascii="Times New Roman" w:eastAsia="HardingText-Regular" w:hAnsi="Times New Roman"/>
          <w:color w:val="000000"/>
          <w:sz w:val="24"/>
          <w:szCs w:val="24"/>
          <w:lang w:bidi="ar"/>
        </w:rPr>
        <w:t>.</w:t>
      </w:r>
    </w:p>
    <w:p w14:paraId="5DD95D7B" w14:textId="77777777" w:rsidR="00757290" w:rsidRPr="00757290" w:rsidRDefault="00757290" w:rsidP="00757290">
      <w:pPr>
        <w:pStyle w:val="HTML"/>
        <w:widowControl/>
        <w:shd w:val="clear" w:color="auto" w:fill="FFFFFF"/>
        <w:wordWrap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bidi="ar"/>
        </w:rPr>
      </w:pPr>
    </w:p>
    <w:p w14:paraId="09D36EC0" w14:textId="77777777" w:rsidR="00757290" w:rsidRPr="00757290" w:rsidRDefault="00757290" w:rsidP="00757290">
      <w:pPr>
        <w:widowControl/>
        <w:spacing w:line="360" w:lineRule="auto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r w:rsidRPr="00757290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[1] </w:t>
      </w:r>
      <w:r w:rsidR="00000000" w:rsidRPr="00757290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Borcherding, N., Bormann, N. L. &amp; Kraus, G. </w:t>
      </w:r>
      <w:proofErr w:type="spellStart"/>
      <w:r w:rsidR="00000000" w:rsidRPr="00757290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scRepertoire</w:t>
      </w:r>
      <w:proofErr w:type="spellEnd"/>
      <w:r w:rsidR="00000000" w:rsidRPr="00757290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: an R-based toolkit for single-cell immune receptor analysis. </w:t>
      </w:r>
      <w:r w:rsidR="00000000" w:rsidRPr="00757290">
        <w:rPr>
          <w:rFonts w:ascii="Times New Roman" w:eastAsia="AdvOT7d6df7ab . I" w:hAnsi="Times New Roman" w:cs="Times New Roman"/>
          <w:color w:val="000000"/>
          <w:kern w:val="0"/>
          <w:sz w:val="24"/>
          <w:lang w:bidi="ar"/>
        </w:rPr>
        <w:t xml:space="preserve">F1000Res </w:t>
      </w:r>
      <w:r w:rsidR="00000000" w:rsidRPr="00757290">
        <w:rPr>
          <w:rFonts w:ascii="Times New Roman" w:eastAsia="AdvOTb65e897d . B" w:hAnsi="Times New Roman" w:cs="Times New Roman"/>
          <w:color w:val="000000"/>
          <w:kern w:val="0"/>
          <w:sz w:val="24"/>
          <w:lang w:bidi="ar"/>
        </w:rPr>
        <w:t>9</w:t>
      </w:r>
      <w:r w:rsidR="00000000" w:rsidRPr="00757290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, 47 (2020).</w:t>
      </w:r>
    </w:p>
    <w:p w14:paraId="39FE2212" w14:textId="044183E8" w:rsidR="00060614" w:rsidRPr="00757290" w:rsidRDefault="00757290" w:rsidP="00757290">
      <w:pPr>
        <w:widowControl/>
        <w:spacing w:line="360" w:lineRule="auto"/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</w:pPr>
      <w:r w:rsidRPr="00757290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[2] </w:t>
      </w:r>
      <w:proofErr w:type="spellStart"/>
      <w:r w:rsidR="00000000" w:rsidRPr="00757290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Shugay</w:t>
      </w:r>
      <w:proofErr w:type="spellEnd"/>
      <w:r w:rsidR="00000000" w:rsidRPr="00757290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, M. et al. </w:t>
      </w:r>
      <w:proofErr w:type="spellStart"/>
      <w:r w:rsidR="00000000" w:rsidRPr="00757290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VDJtools</w:t>
      </w:r>
      <w:proofErr w:type="spellEnd"/>
      <w:r w:rsidR="00000000" w:rsidRPr="00757290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: unifying post-analysis of T cell receptor repertoires. </w:t>
      </w:r>
      <w:proofErr w:type="spellStart"/>
      <w:r w:rsidR="00000000" w:rsidRPr="00757290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>PLoS</w:t>
      </w:r>
      <w:proofErr w:type="spellEnd"/>
      <w:r w:rsidR="00000000" w:rsidRPr="00757290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 xml:space="preserve"> </w:t>
      </w:r>
      <w:proofErr w:type="spellStart"/>
      <w:r w:rsidR="00000000" w:rsidRPr="00757290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>Comput</w:t>
      </w:r>
      <w:proofErr w:type="spellEnd"/>
      <w:r w:rsidR="00000000" w:rsidRPr="00757290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 xml:space="preserve">. Biol. </w:t>
      </w:r>
      <w:r w:rsidR="00000000" w:rsidRPr="00757290">
        <w:rPr>
          <w:rFonts w:ascii="Times New Roman" w:eastAsia="GraphikNaturel-Semibold" w:hAnsi="Times New Roman" w:cs="Times New Roman"/>
          <w:b/>
          <w:bCs/>
          <w:color w:val="000000"/>
          <w:kern w:val="0"/>
          <w:sz w:val="24"/>
          <w:lang w:bidi="ar"/>
        </w:rPr>
        <w:t>11</w:t>
      </w:r>
      <w:r w:rsidR="00000000" w:rsidRPr="00757290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, e1004503 (2015).</w:t>
      </w:r>
    </w:p>
    <w:p w14:paraId="656DE421" w14:textId="5F9F3CCC" w:rsidR="00060614" w:rsidRPr="00757290" w:rsidRDefault="00757290" w:rsidP="00757290">
      <w:pPr>
        <w:widowControl/>
        <w:spacing w:line="360" w:lineRule="auto"/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</w:pPr>
      <w:r w:rsidRPr="00757290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[3] </w:t>
      </w:r>
      <w:proofErr w:type="spellStart"/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Samokhina</w:t>
      </w:r>
      <w:proofErr w:type="spellEnd"/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, M. et al. </w:t>
      </w:r>
      <w:proofErr w:type="spellStart"/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immunomind</w:t>
      </w:r>
      <w:proofErr w:type="spellEnd"/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/</w:t>
      </w:r>
      <w:proofErr w:type="spellStart"/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immunarch</w:t>
      </w:r>
      <w:proofErr w:type="spellEnd"/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: </w:t>
      </w:r>
      <w:proofErr w:type="spellStart"/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Immunarch</w:t>
      </w:r>
      <w:proofErr w:type="spellEnd"/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 0.9.0. Zenodo </w:t>
      </w:r>
      <w:r w:rsidR="00000000" w:rsidRPr="00757290">
        <w:rPr>
          <w:rFonts w:ascii="Times New Roman" w:eastAsia="AdvOT0c200bf0" w:hAnsi="Times New Roman" w:cs="Times New Roman"/>
          <w:color w:val="0068A5"/>
          <w:kern w:val="0"/>
          <w:sz w:val="24"/>
          <w:lang w:bidi="ar"/>
        </w:rPr>
        <w:t xml:space="preserve">https://doi.org/10.5281/zenodo.7446955 </w:t>
      </w:r>
      <w:r w:rsidR="00000000" w:rsidRPr="00757290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(2022).</w:t>
      </w:r>
    </w:p>
    <w:p w14:paraId="43D5ACCA" w14:textId="25B681DC" w:rsidR="00060614" w:rsidRPr="00757290" w:rsidRDefault="00757290" w:rsidP="00757290">
      <w:pPr>
        <w:widowControl/>
        <w:spacing w:line="360" w:lineRule="auto"/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</w:pPr>
      <w:r w:rsidRPr="00757290">
        <w:rPr>
          <w:rFonts w:ascii="Times New Roman" w:hAnsi="Times New Roman" w:cs="Times New Roman"/>
          <w:color w:val="231F20"/>
          <w:kern w:val="0"/>
          <w:sz w:val="24"/>
          <w:lang w:bidi="ar"/>
        </w:rPr>
        <w:t xml:space="preserve">[4] </w:t>
      </w:r>
      <w:r w:rsidR="00000000" w:rsidRPr="00757290">
        <w:rPr>
          <w:rFonts w:ascii="Times New Roman" w:eastAsia="LyonText-Regular" w:hAnsi="Times New Roman" w:cs="Times New Roman"/>
          <w:color w:val="231F20"/>
          <w:kern w:val="0"/>
          <w:sz w:val="24"/>
          <w:lang w:bidi="ar"/>
        </w:rPr>
        <w:t xml:space="preserve">Angerer P, et al. destiny: diffusion maps for large-scale single-cell data in R. </w:t>
      </w:r>
      <w:r w:rsidR="00000000" w:rsidRPr="00757290">
        <w:rPr>
          <w:rFonts w:ascii="Times New Roman" w:eastAsia="LyonText-RegularItalic" w:hAnsi="Times New Roman" w:cs="Times New Roman"/>
          <w:i/>
          <w:iCs/>
          <w:color w:val="231F20"/>
          <w:kern w:val="0"/>
          <w:sz w:val="24"/>
          <w:lang w:bidi="ar"/>
        </w:rPr>
        <w:t>Bioinformatics</w:t>
      </w:r>
      <w:r w:rsidR="00000000" w:rsidRPr="00757290">
        <w:rPr>
          <w:rFonts w:ascii="Times New Roman" w:eastAsia="LyonText-Regular" w:hAnsi="Times New Roman" w:cs="Times New Roman"/>
          <w:color w:val="231F20"/>
          <w:kern w:val="0"/>
          <w:sz w:val="24"/>
          <w:lang w:bidi="ar"/>
        </w:rPr>
        <w:t>. 2016;32(8):1241–1243.</w:t>
      </w:r>
    </w:p>
    <w:p w14:paraId="7752A350" w14:textId="77777777" w:rsidR="00060614" w:rsidRDefault="00060614">
      <w:pPr>
        <w:pStyle w:val="HTML"/>
        <w:widowControl/>
        <w:shd w:val="clear" w:color="auto" w:fill="FFFFFF"/>
        <w:wordWrap w:val="0"/>
        <w:rPr>
          <w:rFonts w:ascii="HardingText-Regular" w:eastAsia="HardingText-Regular" w:hAnsi="HardingText-Regular" w:cs="HardingText-Regular"/>
          <w:color w:val="000000"/>
          <w:sz w:val="18"/>
          <w:szCs w:val="18"/>
          <w:lang w:bidi="ar"/>
        </w:rPr>
      </w:pPr>
    </w:p>
    <w:p w14:paraId="38501D6A" w14:textId="77777777" w:rsidR="00060614" w:rsidRDefault="00060614">
      <w:pPr>
        <w:widowControl/>
        <w:jc w:val="left"/>
        <w:rPr>
          <w:sz w:val="18"/>
          <w:szCs w:val="18"/>
        </w:rPr>
      </w:pPr>
    </w:p>
    <w:sectPr w:rsidR="0006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vOT1ef757c0">
    <w:altName w:val="Calibri"/>
    <w:charset w:val="00"/>
    <w:family w:val="auto"/>
    <w:pitch w:val="default"/>
  </w:font>
  <w:font w:name="var(--jp-code-font-family)">
    <w:altName w:val="Calibri"/>
    <w:charset w:val="00"/>
    <w:family w:val="auto"/>
    <w:pitch w:val="default"/>
  </w:font>
  <w:font w:name="AdvOT1ef757c0 + fb">
    <w:altName w:val="Calibri"/>
    <w:charset w:val="00"/>
    <w:family w:val="auto"/>
    <w:pitch w:val="default"/>
  </w:font>
  <w:font w:name="AdvOTdd63dae3">
    <w:altName w:val="Calibri"/>
    <w:charset w:val="00"/>
    <w:family w:val="auto"/>
    <w:pitch w:val="default"/>
  </w:font>
  <w:font w:name="AdvOTcc1f6510 . I">
    <w:altName w:val="Calibri"/>
    <w:charset w:val="00"/>
    <w:family w:val="auto"/>
    <w:pitch w:val="default"/>
  </w:font>
  <w:font w:name="HardingText-Regular">
    <w:altName w:val="Calibri"/>
    <w:charset w:val="00"/>
    <w:family w:val="auto"/>
    <w:pitch w:val="default"/>
  </w:font>
  <w:font w:name="HardingText-RegularItalic">
    <w:altName w:val="Calibri"/>
    <w:charset w:val="00"/>
    <w:family w:val="auto"/>
    <w:pitch w:val="default"/>
  </w:font>
  <w:font w:name="AdvOT7d6df7ab . I">
    <w:altName w:val="Calibri"/>
    <w:charset w:val="00"/>
    <w:family w:val="auto"/>
    <w:pitch w:val="default"/>
  </w:font>
  <w:font w:name="AdvOTb65e897d . B">
    <w:altName w:val="Calibri"/>
    <w:charset w:val="00"/>
    <w:family w:val="auto"/>
    <w:pitch w:val="default"/>
  </w:font>
  <w:font w:name="GraphikNaturel-Regular">
    <w:altName w:val="Calibri"/>
    <w:charset w:val="00"/>
    <w:family w:val="auto"/>
    <w:pitch w:val="default"/>
  </w:font>
  <w:font w:name="GraphikNaturel-RegularItalic2">
    <w:altName w:val="Calibri"/>
    <w:charset w:val="00"/>
    <w:family w:val="auto"/>
    <w:pitch w:val="default"/>
  </w:font>
  <w:font w:name="GraphikNaturel-Semibold">
    <w:altName w:val="Calibri"/>
    <w:charset w:val="00"/>
    <w:family w:val="auto"/>
    <w:pitch w:val="default"/>
  </w:font>
  <w:font w:name="AdvOT0c200bf0">
    <w:altName w:val="Calibri"/>
    <w:charset w:val="00"/>
    <w:family w:val="auto"/>
    <w:pitch w:val="default"/>
  </w:font>
  <w:font w:name="LyonText-Regular">
    <w:altName w:val="Calibri"/>
    <w:charset w:val="00"/>
    <w:family w:val="auto"/>
    <w:pitch w:val="default"/>
  </w:font>
  <w:font w:name="LyonText-RegularItali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5EB8"/>
    <w:multiLevelType w:val="singleLevel"/>
    <w:tmpl w:val="066F5EB8"/>
    <w:lvl w:ilvl="0">
      <w:start w:val="1"/>
      <w:numFmt w:val="decimal"/>
      <w:suff w:val="nothing"/>
      <w:lvlText w:val="%1、"/>
      <w:lvlJc w:val="left"/>
    </w:lvl>
  </w:abstractNum>
  <w:num w:numId="1" w16cid:durableId="54521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FF801E"/>
    <w:rsid w:val="FFF28DA5"/>
    <w:rsid w:val="000028A3"/>
    <w:rsid w:val="00060614"/>
    <w:rsid w:val="0026507C"/>
    <w:rsid w:val="00371500"/>
    <w:rsid w:val="0073151A"/>
    <w:rsid w:val="00757290"/>
    <w:rsid w:val="00E645C5"/>
    <w:rsid w:val="3B59F8FF"/>
    <w:rsid w:val="507C45CE"/>
    <w:rsid w:val="6FDD320A"/>
    <w:rsid w:val="7AFF801E"/>
    <w:rsid w:val="7D8D016E"/>
    <w:rsid w:val="7FDD6471"/>
    <w:rsid w:val="B7BBD93B"/>
    <w:rsid w:val="DFF23FC9"/>
    <w:rsid w:val="E6FD0AEE"/>
    <w:rsid w:val="EFB6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39C7C"/>
  <w15:docId w15:val="{517E0E6D-76B2-4802-8742-1B31F7B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1356</Characters>
  <Application>Microsoft Office Word</Application>
  <DocSecurity>0</DocSecurity>
  <Lines>20</Lines>
  <Paragraphs>5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梦洁 贾</cp:lastModifiedBy>
  <cp:revision>6</cp:revision>
  <dcterms:created xsi:type="dcterms:W3CDTF">2025-04-02T00:06:00Z</dcterms:created>
  <dcterms:modified xsi:type="dcterms:W3CDTF">2025-04-15T08:58:00Z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9B2616AB316BAB55064DEA6766CCE534_41</vt:lpwstr>
  </property>
</Properties>
</file>