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2B324B">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default" w:ascii="Times New Roman Regular" w:hAnsi="Times New Roman Regular" w:cs="Times New Roman Regular"/>
          <w:sz w:val="32"/>
          <w:szCs w:val="32"/>
          <w:lang w:val="en-US"/>
        </w:rPr>
        <w:t xml:space="preserve">NicheNet_spatial </w:t>
      </w:r>
      <w:r>
        <w:rPr>
          <w:rFonts w:hint="default" w:ascii="Times New Roman Regular" w:hAnsi="Times New Roman Regular" w:cs="Times New Roman Regular"/>
          <w:sz w:val="32"/>
          <w:szCs w:val="32"/>
        </w:rPr>
        <w:t>Analysis</w:t>
      </w:r>
    </w:p>
    <w:p w14:paraId="05D8C0F5">
      <w:r>
        <w:drawing>
          <wp:inline distT="0" distB="0" distL="114300" distR="114300">
            <wp:extent cx="5262245" cy="1223645"/>
            <wp:effectExtent l="0" t="0" r="20955" b="209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5262245" cy="1223645"/>
                    </a:xfrm>
                    <a:prstGeom prst="rect">
                      <a:avLst/>
                    </a:prstGeom>
                    <a:noFill/>
                    <a:ln>
                      <a:noFill/>
                    </a:ln>
                  </pic:spPr>
                </pic:pic>
              </a:graphicData>
            </a:graphic>
          </wp:inline>
        </w:drawing>
      </w:r>
    </w:p>
    <w:p w14:paraId="2BC23D2E">
      <w:pPr>
        <w:rPr>
          <w:rFonts w:hint="eastAsia" w:ascii="Times New Roman" w:hAnsi="Times New Roman" w:eastAsia="宋体" w:cs="Times New Roman"/>
          <w:sz w:val="24"/>
          <w:szCs w:val="24"/>
          <w:lang w:val="en-US" w:eastAsia="zh-CN"/>
        </w:rPr>
      </w:pPr>
      <w:r>
        <w:drawing>
          <wp:inline distT="0" distB="0" distL="114300" distR="114300">
            <wp:extent cx="5274310" cy="1577340"/>
            <wp:effectExtent l="0" t="0" r="8890" b="228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74310" cy="1577340"/>
                    </a:xfrm>
                    <a:prstGeom prst="rect">
                      <a:avLst/>
                    </a:prstGeom>
                    <a:noFill/>
                    <a:ln>
                      <a:noFill/>
                    </a:ln>
                  </pic:spPr>
                </pic:pic>
              </a:graphicData>
            </a:graphic>
          </wp:inline>
        </w:drawing>
      </w:r>
    </w:p>
    <w:p w14:paraId="7ED03C43">
      <w:pPr>
        <w:rPr>
          <w:rFonts w:hint="eastAsia" w:ascii="Times New Roman" w:hAnsi="Times New Roman" w:eastAsia="宋体" w:cs="Times New Roman"/>
          <w:sz w:val="24"/>
          <w:szCs w:val="24"/>
          <w:lang w:val="en-US" w:eastAsia="zh-CN"/>
        </w:rPr>
      </w:pPr>
    </w:p>
    <w:p w14:paraId="38D9FC22">
      <w:pPr>
        <w:rPr>
          <w:rFonts w:hint="eastAsia" w:ascii="Times New Roman" w:hAnsi="Times New Roman" w:eastAsia="宋体" w:cs="Times New Roman"/>
          <w:sz w:val="24"/>
          <w:szCs w:val="24"/>
          <w:lang w:val="en-US" w:eastAsia="zh-CN"/>
        </w:rPr>
      </w:pPr>
    </w:p>
    <w:p w14:paraId="2814CFE8">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英文：</w:t>
      </w:r>
    </w:p>
    <w:p w14:paraId="5A2D27D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To elucidate how intercellular communication drives downstream gene expression reprogramming within specific tissue microenvironments, we applied the NicheNet algorithm to the spatial transcriptomics data</w:t>
      </w:r>
      <w:r>
        <w:rPr>
          <w:rFonts w:hint="default" w:ascii="Times New Roman" w:hAnsi="Times New Roman" w:eastAsia="宋体" w:cs="Times New Roman"/>
          <w:sz w:val="24"/>
          <w:szCs w:val="24"/>
          <w:lang w:val="en-US"/>
        </w:rPr>
        <w:t xml:space="preserve"> </w:t>
      </w:r>
      <w:r>
        <w:rPr>
          <w:rFonts w:hint="default" w:ascii="Times New Roman" w:hAnsi="Times New Roman" w:eastAsia="宋体" w:cs="Times New Roman"/>
          <w:sz w:val="24"/>
          <w:szCs w:val="24"/>
          <w:vertAlign w:val="superscript"/>
          <w:lang w:val="en-US"/>
        </w:rPr>
        <w:t>[1]</w:t>
      </w:r>
      <w:r>
        <w:rPr>
          <w:rFonts w:hint="default" w:ascii="Times New Roman" w:hAnsi="Times New Roman" w:eastAsia="宋体" w:cs="Times New Roman"/>
          <w:sz w:val="24"/>
          <w:szCs w:val="24"/>
        </w:rPr>
        <w:t xml:space="preserve">. Initially, by combining spatial coordinates with cell type annotations, we defined specific </w:t>
      </w:r>
      <w:r>
        <w:rPr>
          <w:rFonts w:hint="default" w:ascii="Times New Roman" w:hAnsi="Times New Roman" w:eastAsia="宋体" w:cs="Times New Roman"/>
          <w:color w:val="FF0000"/>
          <w:sz w:val="24"/>
          <w:szCs w:val="24"/>
        </w:rPr>
        <w:t>spatial niches</w:t>
      </w:r>
      <w:r>
        <w:rPr>
          <w:rFonts w:hint="default" w:ascii="Times New Roman" w:hAnsi="Times New Roman" w:eastAsia="宋体" w:cs="Times New Roman"/>
          <w:sz w:val="24"/>
          <w:szCs w:val="24"/>
        </w:rPr>
        <w:t xml:space="preserve"> and specified the signal </w:t>
      </w:r>
      <w:r>
        <w:rPr>
          <w:rFonts w:hint="default" w:ascii="Times New Roman" w:hAnsi="Times New Roman" w:eastAsia="宋体" w:cs="Times New Roman"/>
          <w:color w:val="FF0000"/>
          <w:sz w:val="24"/>
          <w:szCs w:val="24"/>
        </w:rPr>
        <w:t>sender and receiver cells</w:t>
      </w:r>
      <w:r>
        <w:rPr>
          <w:rFonts w:hint="default" w:ascii="Times New Roman" w:hAnsi="Times New Roman" w:eastAsia="宋体" w:cs="Times New Roman"/>
          <w:sz w:val="24"/>
          <w:szCs w:val="24"/>
        </w:rPr>
        <w:t xml:space="preserve"> within these regions. Subsequently, characteristic response genes of the receiver cells in this </w:t>
      </w:r>
      <w:r>
        <w:rPr>
          <w:rFonts w:hint="default" w:ascii="Times New Roman" w:hAnsi="Times New Roman" w:eastAsia="宋体" w:cs="Times New Roman"/>
          <w:color w:val="FF0000"/>
          <w:sz w:val="24"/>
          <w:szCs w:val="24"/>
        </w:rPr>
        <w:t xml:space="preserve">microenvironment </w:t>
      </w:r>
      <w:r>
        <w:rPr>
          <w:rFonts w:hint="default" w:ascii="Times New Roman" w:hAnsi="Times New Roman" w:eastAsia="宋体" w:cs="Times New Roman"/>
          <w:sz w:val="24"/>
          <w:szCs w:val="24"/>
        </w:rPr>
        <w:t>were extracted via differential expression analysis to serve as the "gene set of interest." NicheNet then integrated its built-in prior knowledge networks of ligand-receptor interactions, signal transduction, and gene regulation to evaluate the predictive ability of all potential ligands expressed by the sender cells on this target gene set. By calculating the Pearson correlation coefficient, we ranked the regulatory activity of the ligands and identified high-activity ligands. Finally, a "ligand-receptor-target gene" regulatory network was constructed, and the co-localization of high-activity ligands and their target genes was validated on the spatial sections, thereby revealing the key molecular mechanisms driving the remodeling of the spatial microenvironment.</w:t>
      </w:r>
    </w:p>
    <w:p w14:paraId="3EA8AAFC">
      <w:pPr>
        <w:rPr>
          <w:rFonts w:hint="eastAsia" w:ascii="宋体" w:hAnsi="宋体" w:eastAsia="宋体" w:cs="宋体"/>
          <w:sz w:val="24"/>
          <w:szCs w:val="24"/>
        </w:rPr>
      </w:pPr>
    </w:p>
    <w:p w14:paraId="34A10F7E">
      <w:pPr>
        <w:rPr>
          <w:rFonts w:hint="eastAsia" w:ascii="宋体" w:hAnsi="宋体" w:eastAsia="宋体" w:cs="宋体"/>
          <w:sz w:val="24"/>
          <w:szCs w:val="24"/>
        </w:rPr>
      </w:pPr>
    </w:p>
    <w:p w14:paraId="2181F36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中文：</w:t>
      </w:r>
    </w:p>
    <w:p w14:paraId="031182B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为了解析特定组织微环境中细胞通讯如何驱动下游基因表达重编程，我们采用了 NicheNet 算法对空间转录组数据进行分析</w:t>
      </w:r>
      <w:r>
        <w:rPr>
          <w:rFonts w:hint="default" w:ascii="Times New Roman" w:hAnsi="Times New Roman" w:eastAsia="宋体" w:cs="Times New Roman"/>
          <w:sz w:val="24"/>
          <w:szCs w:val="24"/>
          <w:vertAlign w:val="superscript"/>
          <w:lang w:val="en-US"/>
        </w:rPr>
        <w:t>[1]</w:t>
      </w:r>
      <w:r>
        <w:rPr>
          <w:rFonts w:hint="default" w:ascii="Times New Roman" w:hAnsi="Times New Roman" w:eastAsia="宋体" w:cs="Times New Roman"/>
          <w:sz w:val="24"/>
          <w:szCs w:val="24"/>
        </w:rPr>
        <w:t>。首先，我们结合空间坐标与细胞类型注释，定义了特定的</w:t>
      </w:r>
      <w:r>
        <w:rPr>
          <w:rFonts w:hint="default" w:ascii="Times New Roman" w:hAnsi="Times New Roman" w:eastAsia="宋体" w:cs="Times New Roman"/>
          <w:color w:val="FF0000"/>
          <w:sz w:val="24"/>
          <w:szCs w:val="24"/>
        </w:rPr>
        <w:t>空间微环境</w:t>
      </w:r>
      <w:r>
        <w:rPr>
          <w:rFonts w:hint="default" w:ascii="Times New Roman" w:hAnsi="Times New Roman" w:eastAsia="宋体" w:cs="Times New Roman"/>
          <w:sz w:val="24"/>
          <w:szCs w:val="24"/>
        </w:rPr>
        <w:t>，并明确了</w:t>
      </w:r>
      <w:r>
        <w:rPr>
          <w:rFonts w:hint="default" w:ascii="Times New Roman" w:hAnsi="Times New Roman" w:eastAsia="宋体" w:cs="Times New Roman"/>
          <w:color w:val="FF0000"/>
          <w:sz w:val="24"/>
          <w:szCs w:val="24"/>
        </w:rPr>
        <w:t>微环境</w:t>
      </w:r>
      <w:r>
        <w:rPr>
          <w:rFonts w:hint="default" w:ascii="Times New Roman" w:hAnsi="Times New Roman" w:eastAsia="宋体" w:cs="Times New Roman"/>
          <w:sz w:val="24"/>
          <w:szCs w:val="24"/>
        </w:rPr>
        <w:t>内的信号</w:t>
      </w:r>
      <w:r>
        <w:rPr>
          <w:rFonts w:hint="default" w:ascii="Times New Roman" w:hAnsi="Times New Roman" w:eastAsia="宋体" w:cs="Times New Roman"/>
          <w:color w:val="FF0000"/>
          <w:sz w:val="24"/>
          <w:szCs w:val="24"/>
        </w:rPr>
        <w:t>发送细胞</w:t>
      </w:r>
      <w:r>
        <w:rPr>
          <w:rFonts w:hint="default" w:ascii="Times New Roman" w:hAnsi="Times New Roman" w:eastAsia="宋体" w:cs="Times New Roman"/>
          <w:sz w:val="24"/>
          <w:szCs w:val="24"/>
        </w:rPr>
        <w:t>（Sender cells）与</w:t>
      </w:r>
      <w:r>
        <w:rPr>
          <w:rFonts w:hint="default" w:ascii="Times New Roman" w:hAnsi="Times New Roman" w:eastAsia="宋体" w:cs="Times New Roman"/>
          <w:color w:val="FF0000"/>
          <w:sz w:val="24"/>
          <w:szCs w:val="24"/>
        </w:rPr>
        <w:t>接收细胞</w:t>
      </w:r>
      <w:r>
        <w:rPr>
          <w:rFonts w:hint="default" w:ascii="Times New Roman" w:hAnsi="Times New Roman" w:eastAsia="宋体" w:cs="Times New Roman"/>
          <w:sz w:val="24"/>
          <w:szCs w:val="24"/>
        </w:rPr>
        <w:t>（Receiver cells）。接着，我们通过差异表达分析（或基于空间特征的基因集筛选）提取了接收细胞在该微环境下的特征响应基因作为“感兴趣的靶基因集”。随后，NicheNet 整合了内置的配体-受体、信号转导和基因调控先验知识网络，评估了发送细胞所表达的所有潜在配体对该靶基因集的预测能力。通过计算 Pearson 相关系数，我们对配体的调控活性进行了排序，筛选出高活性配体。最终，我们构建了“配体-受体-靶基因”调控网络图，并在空间切片上对高活性配体及其靶基因的表达进行了共定位验证，从而揭示了驱动空间微环境重塑的关键分子机制。</w:t>
      </w:r>
    </w:p>
    <w:p w14:paraId="3EBA961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p>
    <w:p w14:paraId="4DD169F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p>
    <w:p w14:paraId="7027C68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 Guilliams et al. Spatial proteogenomics reveals distinct and evolutionarily conserved hepatic macrophage niches. Cell (2022) doi:10.1016/j.cell.2021.12.018</w:t>
      </w:r>
      <w:bookmarkStart w:id="0" w:name="_GoBack"/>
      <w:bookmarkEnd w:id="0"/>
    </w:p>
    <w:p w14:paraId="5AF9990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p>
    <w:p w14:paraId="3C7BBD0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w:panose1 w:val="00000000000000000000"/>
    <w:charset w:val="00"/>
    <w:family w:val="auto"/>
    <w:pitch w:val="default"/>
    <w:sig w:usb0="E00002FF" w:usb1="5000785B" w:usb2="00000000" w:usb3="00000000" w:csb0="2000019F" w:csb1="4F010000"/>
  </w:font>
  <w:font w:name="Times New Roman Regular">
    <w:panose1 w:val="02020503050405090304"/>
    <w:charset w:val="00"/>
    <w:family w:val="auto"/>
    <w:pitch w:val="default"/>
    <w:sig w:usb0="E0000AFF" w:usb1="00007843" w:usb2="00000001" w:usb3="00000000" w:csb0="400001BF" w:csb1="DFF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B737ED"/>
    <w:rsid w:val="5FFDE9BC"/>
    <w:rsid w:val="7FBE04E8"/>
    <w:rsid w:val="FDEB2A6F"/>
    <w:rsid w:val="FFB737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4</TotalTime>
  <ScaleCrop>false</ScaleCrop>
  <LinksUpToDate>false</LinksUpToDate>
  <CharactersWithSpaces>0</CharactersWithSpaces>
  <Application>WPS Office_12.1.26026.26026_F1E327BC-269C-435d-A152-05C5408002CA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2026-07-08T17:17:00Z</dcterms:created>
  <dc:creator>热火</dc:creator>
  <cp:lastModifiedBy>热火</cp:lastModifiedBy>
  <dcterms:modified xsi:type="dcterms:W3CDTF">2026-07-08T17:39:40Z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2052-12.1.26026.26026</vt:lpwstr>
  </property>
  <property fmtid="{D5CDD505-2E9C-101B-9397-08002B2CF9AE}" pid="3" name="ICV">
    <vt:lpwstr>C4CFD442B71C41A790154E6A48790AC0_41</vt:lpwstr>
  </property>
</Properties>
</file>