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D26F" w14:textId="49E5A4BB" w:rsidR="00385051" w:rsidRPr="00622ABE" w:rsidRDefault="00000000">
      <w:pPr>
        <w:widowControl/>
        <w:jc w:val="left"/>
        <w:rPr>
          <w:rFonts w:ascii="Times New Roman" w:hAnsi="Times New Roman" w:cs="Times New Roman"/>
          <w:color w:val="000000"/>
          <w:kern w:val="0"/>
          <w:sz w:val="32"/>
          <w:szCs w:val="32"/>
          <w:lang w:bidi="ar"/>
        </w:rPr>
      </w:pPr>
      <w:proofErr w:type="spellStart"/>
      <w:r w:rsidRPr="00622ABE">
        <w:rPr>
          <w:rFonts w:ascii="Times New Roman" w:eastAsia="AdvOT70e1938e" w:hAnsi="Times New Roman" w:cs="Times New Roman"/>
          <w:color w:val="000000"/>
          <w:kern w:val="0"/>
          <w:sz w:val="32"/>
          <w:szCs w:val="32"/>
          <w:lang w:bidi="ar"/>
        </w:rPr>
        <w:t>NicheNet</w:t>
      </w:r>
      <w:proofErr w:type="spellEnd"/>
      <w:r w:rsidRPr="00622ABE">
        <w:rPr>
          <w:rFonts w:ascii="Times New Roman" w:eastAsia="AdvOT70e1938e" w:hAnsi="Times New Roman" w:cs="Times New Roman"/>
          <w:color w:val="000000"/>
          <w:kern w:val="0"/>
          <w:sz w:val="32"/>
          <w:szCs w:val="32"/>
          <w:lang w:bidi="ar"/>
        </w:rPr>
        <w:t xml:space="preserve"> </w:t>
      </w:r>
      <w:r w:rsidR="00622ABE" w:rsidRPr="00622ABE">
        <w:rPr>
          <w:rFonts w:ascii="Times New Roman" w:hAnsi="Times New Roman" w:cs="Times New Roman" w:hint="eastAsia"/>
          <w:color w:val="000000"/>
          <w:kern w:val="0"/>
          <w:sz w:val="32"/>
          <w:szCs w:val="32"/>
          <w:lang w:bidi="ar"/>
        </w:rPr>
        <w:t>A</w:t>
      </w:r>
      <w:r w:rsidRPr="00622ABE">
        <w:rPr>
          <w:rFonts w:ascii="Times New Roman" w:eastAsia="AdvOT70e1938e" w:hAnsi="Times New Roman" w:cs="Times New Roman"/>
          <w:color w:val="000000"/>
          <w:kern w:val="0"/>
          <w:sz w:val="32"/>
          <w:szCs w:val="32"/>
          <w:lang w:bidi="ar"/>
        </w:rPr>
        <w:t xml:space="preserve">nalysis </w:t>
      </w:r>
    </w:p>
    <w:p w14:paraId="600445EA" w14:textId="336EDBC9" w:rsidR="0095229F" w:rsidRPr="00622ABE" w:rsidRDefault="00F7251A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EF27C05" wp14:editId="325A6A5A">
            <wp:extent cx="5274310" cy="1135380"/>
            <wp:effectExtent l="0" t="0" r="2540" b="7620"/>
            <wp:docPr id="1615499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992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F2C0" w14:textId="010B723A" w:rsidR="00385051" w:rsidRPr="00622ABE" w:rsidRDefault="00000000" w:rsidP="00622ABE">
      <w:pPr>
        <w:widowControl/>
        <w:spacing w:line="360" w:lineRule="auto"/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</w:pPr>
      <w:proofErr w:type="spellStart"/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>NicheNet</w:t>
      </w:r>
      <w:proofErr w:type="spellEnd"/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 xml:space="preserve"> (Version 2.0.4)</w:t>
      </w:r>
      <w:r w:rsidR="00622ABE" w:rsidRPr="00425B7B">
        <w:rPr>
          <w:rFonts w:ascii="Times New Roman" w:hAnsi="Times New Roman" w:cs="Times New Roman" w:hint="eastAsia"/>
          <w:color w:val="000000"/>
          <w:kern w:val="0"/>
          <w:sz w:val="24"/>
          <w:vertAlign w:val="superscript"/>
          <w:lang w:bidi="ar"/>
        </w:rPr>
        <w:t>[1]</w:t>
      </w:r>
      <w:r w:rsidR="00425B7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 xml:space="preserve">was used to identify potential ligands that drive the phenotype of </w:t>
      </w:r>
      <w:r w:rsidRPr="002D6913">
        <w:rPr>
          <w:rFonts w:ascii="宋体" w:eastAsia="宋体" w:hAnsi="宋体" w:cs="宋体" w:hint="eastAsia"/>
          <w:b/>
          <w:bCs/>
          <w:color w:val="FF0000"/>
          <w:kern w:val="0"/>
          <w:sz w:val="24"/>
          <w:lang w:bidi="ar"/>
        </w:rPr>
        <w:t>受体细胞亚群名称</w:t>
      </w:r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 xml:space="preserve">. The top 30 differentially expressed genes were ordered using log2FC between </w:t>
      </w:r>
      <w:r w:rsidR="00605CE9" w:rsidRPr="002D6913">
        <w:rPr>
          <w:rFonts w:ascii="宋体" w:eastAsia="宋体" w:hAnsi="宋体" w:cs="宋体"/>
          <w:b/>
          <w:bCs/>
          <w:color w:val="FF0000"/>
          <w:kern w:val="0"/>
          <w:sz w:val="24"/>
          <w:lang w:bidi="ar"/>
        </w:rPr>
        <w:t>处理组</w:t>
      </w:r>
      <w:r w:rsidRPr="00622ABE">
        <w:rPr>
          <w:rFonts w:ascii="Times New Roman" w:eastAsia="AdvOTdd63dae3" w:hAnsi="Times New Roman" w:cs="Times New Roman"/>
          <w:color w:val="FF0000"/>
          <w:kern w:val="0"/>
          <w:sz w:val="24"/>
          <w:lang w:bidi="ar"/>
        </w:rPr>
        <w:t xml:space="preserve"> </w:t>
      </w:r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 xml:space="preserve">and </w:t>
      </w:r>
      <w:r w:rsidR="00605CE9" w:rsidRPr="002D6913">
        <w:rPr>
          <w:rFonts w:ascii="宋体" w:eastAsia="宋体" w:hAnsi="宋体" w:cs="宋体"/>
          <w:b/>
          <w:bCs/>
          <w:color w:val="FF0000"/>
          <w:kern w:val="0"/>
          <w:sz w:val="24"/>
          <w:lang w:bidi="ar"/>
        </w:rPr>
        <w:t>对照组</w:t>
      </w:r>
      <w:r w:rsidRPr="00622ABE">
        <w:rPr>
          <w:rFonts w:ascii="Times New Roman" w:eastAsia="AdvOTdd63dae3" w:hAnsi="Times New Roman" w:cs="Times New Roman"/>
          <w:color w:val="FF0000"/>
          <w:kern w:val="0"/>
          <w:sz w:val="24"/>
          <w:lang w:bidi="ar"/>
        </w:rPr>
        <w:t xml:space="preserve"> </w:t>
      </w:r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 xml:space="preserve">were treated as potential ligands or targets. Sender cells from </w:t>
      </w:r>
      <w:r w:rsidRPr="002D6913">
        <w:rPr>
          <w:rFonts w:ascii="宋体" w:eastAsia="宋体" w:hAnsi="宋体" w:cs="宋体" w:hint="eastAsia"/>
          <w:b/>
          <w:bCs/>
          <w:color w:val="FF0000"/>
          <w:kern w:val="0"/>
          <w:sz w:val="24"/>
          <w:lang w:bidi="ar"/>
        </w:rPr>
        <w:t>配体细胞亚群名称</w:t>
      </w:r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 xml:space="preserve"> and target cells from </w:t>
      </w:r>
      <w:r w:rsidRPr="002D6913">
        <w:rPr>
          <w:rFonts w:ascii="宋体" w:eastAsia="宋体" w:hAnsi="宋体" w:cs="宋体" w:hint="eastAsia"/>
          <w:b/>
          <w:bCs/>
          <w:color w:val="FF0000"/>
          <w:kern w:val="0"/>
          <w:sz w:val="24"/>
          <w:lang w:bidi="ar"/>
        </w:rPr>
        <w:t>受体细胞亚群名称</w:t>
      </w:r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 xml:space="preserve"> were included to construct the expressed ligand-receptor interactions and calculate the ligand activity. We used the </w:t>
      </w:r>
      <w:proofErr w:type="spellStart"/>
      <w:r w:rsidRPr="00622ABE">
        <w:rPr>
          <w:rFonts w:ascii="Times New Roman" w:eastAsia="AdvOTcc1f6510 . I" w:hAnsi="Times New Roman" w:cs="Times New Roman"/>
          <w:color w:val="000000"/>
          <w:kern w:val="0"/>
          <w:sz w:val="24"/>
          <w:lang w:bidi="ar"/>
        </w:rPr>
        <w:t>active_ligand_target_links</w:t>
      </w:r>
      <w:proofErr w:type="spellEnd"/>
      <w:r w:rsidRPr="00622ABE">
        <w:rPr>
          <w:rFonts w:ascii="Times New Roman" w:eastAsia="AdvOTcc1f6510 . I" w:hAnsi="Times New Roman" w:cs="Times New Roman"/>
          <w:color w:val="000000"/>
          <w:kern w:val="0"/>
          <w:sz w:val="24"/>
          <w:lang w:bidi="ar"/>
        </w:rPr>
        <w:t xml:space="preserve"> </w:t>
      </w:r>
      <w:r w:rsidRPr="00622ABE">
        <w:rPr>
          <w:rFonts w:ascii="Times New Roman" w:eastAsia="AdvOTdd63dae3" w:hAnsi="Times New Roman" w:cs="Times New Roman"/>
          <w:color w:val="000000"/>
          <w:kern w:val="0"/>
          <w:sz w:val="24"/>
          <w:lang w:bidi="ar"/>
        </w:rPr>
        <w:t>function to compute the potential intensity of regulation between the ligand and target.</w:t>
      </w:r>
    </w:p>
    <w:p w14:paraId="668647ED" w14:textId="77777777" w:rsidR="00622ABE" w:rsidRPr="00622ABE" w:rsidRDefault="00622ABE" w:rsidP="00622ABE">
      <w:pPr>
        <w:widowControl/>
        <w:spacing w:line="360" w:lineRule="auto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</w:p>
    <w:p w14:paraId="25900259" w14:textId="48A5001A" w:rsidR="00795A8A" w:rsidRPr="00622ABE" w:rsidRDefault="00622ABE" w:rsidP="00622ABE">
      <w:pPr>
        <w:widowControl/>
        <w:spacing w:line="360" w:lineRule="auto"/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</w:pPr>
      <w:r w:rsidRPr="00622ABE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[1] </w:t>
      </w:r>
      <w:proofErr w:type="spellStart"/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>Browaeys</w:t>
      </w:r>
      <w:proofErr w:type="spellEnd"/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 xml:space="preserve">, R., Saelens, W., and </w:t>
      </w:r>
      <w:proofErr w:type="spellStart"/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>Saeys</w:t>
      </w:r>
      <w:proofErr w:type="spellEnd"/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 xml:space="preserve">, Y. (2020). </w:t>
      </w:r>
      <w:proofErr w:type="spellStart"/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>NicheNet</w:t>
      </w:r>
      <w:proofErr w:type="spellEnd"/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 xml:space="preserve">: modeling intercellular communication by linking ligands to target genes. Nat. Methods </w:t>
      </w:r>
      <w:r w:rsidR="00000000" w:rsidRPr="00622ABE">
        <w:rPr>
          <w:rFonts w:ascii="Times New Roman" w:eastAsia="Advhelvneue-italic" w:hAnsi="Times New Roman" w:cs="Times New Roman"/>
          <w:color w:val="000000"/>
          <w:kern w:val="0"/>
          <w:sz w:val="24"/>
          <w:lang w:bidi="ar"/>
        </w:rPr>
        <w:t>17</w:t>
      </w:r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 xml:space="preserve">, 159–162. </w:t>
      </w:r>
      <w:r w:rsidR="00000000" w:rsidRPr="00622ABE">
        <w:rPr>
          <w:rFonts w:ascii="Times New Roman" w:eastAsia="AdvPSA183" w:hAnsi="Times New Roman" w:cs="Times New Roman"/>
          <w:color w:val="0098D1"/>
          <w:kern w:val="0"/>
          <w:sz w:val="24"/>
          <w:lang w:bidi="ar"/>
        </w:rPr>
        <w:t>https://doi.org/10.1038/s41592-019-0667-5</w:t>
      </w:r>
      <w:r w:rsidR="00000000" w:rsidRPr="00622ABE">
        <w:rPr>
          <w:rFonts w:ascii="Times New Roman" w:eastAsia="AdvPSA183" w:hAnsi="Times New Roman" w:cs="Times New Roman"/>
          <w:color w:val="000000"/>
          <w:kern w:val="0"/>
          <w:sz w:val="24"/>
          <w:lang w:bidi="ar"/>
        </w:rPr>
        <w:t>.</w:t>
      </w:r>
    </w:p>
    <w:sectPr w:rsidR="00795A8A" w:rsidRPr="00622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70e1938e">
    <w:altName w:val="Calibri"/>
    <w:charset w:val="00"/>
    <w:family w:val="auto"/>
    <w:pitch w:val="default"/>
  </w:font>
  <w:font w:name="AdvOTdd63dae3">
    <w:altName w:val="Calibri"/>
    <w:charset w:val="00"/>
    <w:family w:val="auto"/>
    <w:pitch w:val="default"/>
  </w:font>
  <w:font w:name="AdvOTcc1f6510 . I">
    <w:altName w:val="Calibri"/>
    <w:charset w:val="00"/>
    <w:family w:val="auto"/>
    <w:pitch w:val="default"/>
  </w:font>
  <w:font w:name="AdvPSA183">
    <w:altName w:val="Calibri"/>
    <w:charset w:val="00"/>
    <w:family w:val="auto"/>
    <w:pitch w:val="default"/>
  </w:font>
  <w:font w:name="Advhelvneue-ital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64B4C"/>
    <w:rsid w:val="00146D13"/>
    <w:rsid w:val="00172A27"/>
    <w:rsid w:val="002D6913"/>
    <w:rsid w:val="00385051"/>
    <w:rsid w:val="00425B7B"/>
    <w:rsid w:val="00605CE9"/>
    <w:rsid w:val="00622ABE"/>
    <w:rsid w:val="00795A8A"/>
    <w:rsid w:val="00911763"/>
    <w:rsid w:val="0095229F"/>
    <w:rsid w:val="00F42F95"/>
    <w:rsid w:val="00F7251A"/>
    <w:rsid w:val="0BDF6DB3"/>
    <w:rsid w:val="58F8FC07"/>
    <w:rsid w:val="7F27C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8A411"/>
  <w15:docId w15:val="{3B52CEE7-653D-4177-AB57-4AB5F8FF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613</Characters>
  <Application>Microsoft Office Word</Application>
  <DocSecurity>0</DocSecurity>
  <Lines>12</Lines>
  <Paragraphs>5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梦洁 贾</cp:lastModifiedBy>
  <cp:revision>9</cp:revision>
  <dcterms:created xsi:type="dcterms:W3CDTF">2025-02-18T16:14:00Z</dcterms:created>
  <dcterms:modified xsi:type="dcterms:W3CDTF">2025-04-14T06:39:00Z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55A55BC193AB5ADA5948B4679BFF315F_43</vt:lpwstr>
  </property>
</Properties>
</file>