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57165" cy="1040130"/>
            <wp:effectExtent l="0" t="0" r="6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 w:cs="宋体"/>
          <w:sz w:val="24"/>
          <w:szCs w:val="24"/>
        </w:rPr>
        <w:t>16S_basic_statistics使用R（Version 4.3.1）脚本，将单细胞微生物检出矩阵作为独立Assay整合至单细胞转录组（Seurat）对象中。首先在指定的微生物分类层级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门、纲、目、科、属、种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</w:rPr>
        <w:t>下，分别在全局、细胞类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型、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样本或</w:t>
      </w:r>
      <w:r>
        <w:rPr>
          <w:rFonts w:ascii="宋体" w:hAnsi="宋体" w:eastAsia="宋体" w:cs="宋体"/>
          <w:sz w:val="24"/>
          <w:szCs w:val="24"/>
        </w:rPr>
        <w:t>分组等维度进行基础统计，获取微生物的总UMI数、细胞阳性率与相对丰度等分布特征。随后，基于目标靶细胞，综合采用Fisher精确检验与Wilcoxon秩和检验，以P&lt;0.05为阈值筛选在特定靶细胞或分组中显著富集的候选核心微生物。针对筛选出的核心菌，进一步利用Wilcoxon秩和检验寻找靶细胞内带菌（阳性）与未带菌（阴性）细胞之间的差异表达基因（DEGs，logfc.threshold=0.25），并在分组模式下计算组间DEGs与筛选出的候选核心微生物丰度的Spearman相关性。同时，利用clusterProfiler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R 包对上述DEGs执行GO、KEGG及Reactome数据库的通路富集分析。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MTVjZTcyZTEwYjQwNTM4MzMzNzBlNmE3MmEyOTgifQ=="/>
  </w:docVars>
  <w:rsids>
    <w:rsidRoot w:val="00000000"/>
    <w:rsid w:val="327E4A3A"/>
    <w:rsid w:val="4A4060F4"/>
    <w:rsid w:val="540604D5"/>
    <w:rsid w:val="762D1373"/>
    <w:rsid w:val="7EBD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2026-09-18T08:09:00Z</dcterms:created>
  <dc:creator>fsy</dc:creator>
  <cp:lastModifiedBy>晨星</cp:lastModifiedBy>
  <dcterms:modified xsi:type="dcterms:W3CDTF">2026-09-20T06:10:49Z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F2E672D868674C89B70070BCE80751E0_12</vt:lpwstr>
  </property>
</Properties>
</file>