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97687" w14:textId="2206644E" w:rsidR="00B85560" w:rsidRDefault="00B85560" w:rsidP="00064C5C">
      <w:pPr>
        <w:pStyle w:val="a3"/>
        <w:spacing w:after="0"/>
        <w:rPr>
          <w:rFonts w:ascii="宋体" w:eastAsia="宋体" w:hAnsi="宋体" w:cs="宋体"/>
        </w:rPr>
      </w:pPr>
      <w:r w:rsidRPr="00B85560">
        <w:rPr>
          <w:rFonts w:ascii="宋体" w:eastAsia="宋体" w:hAnsi="宋体" w:cs="宋体"/>
        </w:rPr>
        <w:drawing>
          <wp:inline distT="0" distB="0" distL="0" distR="0" wp14:anchorId="6A42C885" wp14:editId="0C9128B5">
            <wp:extent cx="4922520" cy="1360805"/>
            <wp:effectExtent l="0" t="0" r="0" b="0"/>
            <wp:docPr id="5721729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17299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2520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15171" w14:textId="03868D1A" w:rsidR="00064C5C" w:rsidRPr="00064C5C" w:rsidRDefault="00064C5C" w:rsidP="00064C5C">
      <w:pPr>
        <w:pStyle w:val="a3"/>
        <w:spacing w:after="0"/>
        <w:rPr>
          <w:rFonts w:ascii="宋体" w:eastAsia="宋体" w:hAnsi="宋体" w:cs="宋体"/>
        </w:rPr>
      </w:pPr>
      <w:r w:rsidRPr="00064C5C">
        <w:rPr>
          <w:rFonts w:ascii="宋体" w:eastAsia="宋体" w:hAnsi="宋体" w:cs="宋体"/>
        </w:rPr>
        <w:t xml:space="preserve">TF–Peak–Gene </w:t>
      </w:r>
      <w:proofErr w:type="gramStart"/>
      <w:r w:rsidRPr="00064C5C">
        <w:rPr>
          <w:rFonts w:ascii="宋体" w:eastAsia="宋体" w:hAnsi="宋体" w:cs="宋体"/>
        </w:rPr>
        <w:t>trios</w:t>
      </w:r>
      <w:proofErr w:type="gramEnd"/>
      <w:r w:rsidRPr="00064C5C">
        <w:rPr>
          <w:rFonts w:ascii="宋体" w:eastAsia="宋体" w:hAnsi="宋体" w:cs="宋体"/>
        </w:rPr>
        <w:t xml:space="preserve"> construction and filtering. To reconstruct the TF → Peak → Gene regulatory logic chains, a multi-dimensional filtering framework was applied to integrate four independent lines of evidence into a unified regulatory unit. First, initial TF–Peak–Gene trios were assembled by intersecting Peak-to-Gene co-variation links with Motif–Peak binding relationships through genomic spatial overlap analysis (</w:t>
      </w:r>
      <w:proofErr w:type="spellStart"/>
      <w:r w:rsidRPr="00064C5C">
        <w:rPr>
          <w:rFonts w:ascii="宋体" w:eastAsia="宋体" w:hAnsi="宋体" w:cs="宋体"/>
        </w:rPr>
        <w:t>findOverlaps</w:t>
      </w:r>
      <w:proofErr w:type="spellEnd"/>
      <w:r w:rsidRPr="00064C5C">
        <w:rPr>
          <w:rFonts w:ascii="宋体" w:eastAsia="宋体" w:hAnsi="宋体" w:cs="宋体"/>
        </w:rPr>
        <w:t>), requiring that the TF's motif binding site physically resides within the target Peak region</w:t>
      </w:r>
      <w:r w:rsidR="00551CEA">
        <w:rPr>
          <w:rFonts w:ascii="宋体" w:eastAsia="宋体" w:hAnsi="宋体" w:cs="宋体" w:hint="eastAsia"/>
        </w:rPr>
        <w:t xml:space="preserve"> </w:t>
      </w:r>
      <w:r w:rsidR="00551CEA" w:rsidRPr="00B85560">
        <w:rPr>
          <w:rFonts w:ascii="宋体" w:eastAsia="宋体" w:hAnsi="宋体" w:cs="宋体"/>
        </w:rPr>
        <w:t>[</w:t>
      </w:r>
      <w:r w:rsidR="00551CEA">
        <w:rPr>
          <w:rFonts w:ascii="宋体" w:eastAsia="宋体" w:hAnsi="宋体" w:cs="宋体" w:hint="eastAsia"/>
        </w:rPr>
        <w:t>1</w:t>
      </w:r>
      <w:r w:rsidR="00551CEA" w:rsidRPr="00B85560">
        <w:rPr>
          <w:rFonts w:ascii="宋体" w:eastAsia="宋体" w:hAnsi="宋体" w:cs="宋体"/>
        </w:rPr>
        <w:t>]</w:t>
      </w:r>
      <w:r w:rsidRPr="00064C5C">
        <w:rPr>
          <w:rFonts w:ascii="宋体" w:eastAsia="宋体" w:hAnsi="宋体" w:cs="宋体"/>
        </w:rPr>
        <w:t>. For each trios, four independent statistical tests were then performed: (</w:t>
      </w:r>
      <w:proofErr w:type="spellStart"/>
      <w:r w:rsidRPr="00064C5C">
        <w:rPr>
          <w:rFonts w:ascii="宋体" w:eastAsia="宋体" w:hAnsi="宋体" w:cs="宋体"/>
        </w:rPr>
        <w:t>i</w:t>
      </w:r>
      <w:proofErr w:type="spellEnd"/>
      <w:r w:rsidRPr="00064C5C">
        <w:rPr>
          <w:rFonts w:ascii="宋体" w:eastAsia="宋体" w:hAnsi="宋体" w:cs="宋体"/>
        </w:rPr>
        <w:t xml:space="preserve">) Pearson correlation between TF mRNA expression and target gene expression </w:t>
      </w:r>
      <w:r w:rsidRPr="00B85560">
        <w:rPr>
          <w:rFonts w:ascii="宋体" w:eastAsia="宋体" w:hAnsi="宋体" w:cs="宋体"/>
          <w:color w:val="EE0000"/>
        </w:rPr>
        <w:t>(</w:t>
      </w:r>
      <w:proofErr w:type="spellStart"/>
      <w:r w:rsidR="00B85560" w:rsidRPr="00B85560">
        <w:rPr>
          <w:rFonts w:ascii="宋体" w:eastAsia="宋体" w:hAnsi="宋体" w:cs="宋体"/>
          <w:color w:val="EE0000"/>
        </w:rPr>
        <w:t>min_tf_gene_cor</w:t>
      </w:r>
      <w:proofErr w:type="spellEnd"/>
      <w:r w:rsidRPr="00B85560">
        <w:rPr>
          <w:rFonts w:ascii="宋体" w:eastAsia="宋体" w:hAnsi="宋体" w:cs="宋体"/>
          <w:color w:val="EE0000"/>
        </w:rPr>
        <w:t>)</w:t>
      </w:r>
      <w:r w:rsidRPr="00064C5C">
        <w:rPr>
          <w:rFonts w:ascii="宋体" w:eastAsia="宋体" w:hAnsi="宋体" w:cs="宋体"/>
        </w:rPr>
        <w:t xml:space="preserve">; (ii) Pearson correlation between TF </w:t>
      </w:r>
      <w:proofErr w:type="spellStart"/>
      <w:r w:rsidRPr="00064C5C">
        <w:rPr>
          <w:rFonts w:ascii="宋体" w:eastAsia="宋体" w:hAnsi="宋体" w:cs="宋体"/>
        </w:rPr>
        <w:t>chromVAR</w:t>
      </w:r>
      <w:proofErr w:type="spellEnd"/>
      <w:r w:rsidRPr="00064C5C">
        <w:rPr>
          <w:rFonts w:ascii="宋体" w:eastAsia="宋体" w:hAnsi="宋体" w:cs="宋体"/>
        </w:rPr>
        <w:t xml:space="preserve"> deviation score and TF mRNA expression </w:t>
      </w:r>
      <w:r w:rsidRPr="00B85560">
        <w:rPr>
          <w:rFonts w:ascii="宋体" w:eastAsia="宋体" w:hAnsi="宋体" w:cs="宋体"/>
          <w:color w:val="EE0000"/>
        </w:rPr>
        <w:t>(</w:t>
      </w:r>
      <w:proofErr w:type="spellStart"/>
      <w:r w:rsidR="00B85560" w:rsidRPr="00B85560">
        <w:rPr>
          <w:rFonts w:ascii="宋体" w:eastAsia="宋体" w:hAnsi="宋体" w:cs="宋体"/>
          <w:color w:val="EE0000"/>
        </w:rPr>
        <w:t>min_tf_activity_cor</w:t>
      </w:r>
      <w:proofErr w:type="spellEnd"/>
      <w:r w:rsidRPr="00B85560">
        <w:rPr>
          <w:rFonts w:ascii="宋体" w:eastAsia="宋体" w:hAnsi="宋体" w:cs="宋体"/>
          <w:color w:val="EE0000"/>
        </w:rPr>
        <w:t>)</w:t>
      </w:r>
      <w:r w:rsidRPr="00064C5C">
        <w:rPr>
          <w:rFonts w:ascii="宋体" w:eastAsia="宋体" w:hAnsi="宋体" w:cs="宋体"/>
        </w:rPr>
        <w:t xml:space="preserve">; (iii) Pearson correlation between TF </w:t>
      </w:r>
      <w:proofErr w:type="spellStart"/>
      <w:r w:rsidRPr="00064C5C">
        <w:rPr>
          <w:rFonts w:ascii="宋体" w:eastAsia="宋体" w:hAnsi="宋体" w:cs="宋体"/>
        </w:rPr>
        <w:t>chromVAR</w:t>
      </w:r>
      <w:proofErr w:type="spellEnd"/>
      <w:r w:rsidRPr="00064C5C">
        <w:rPr>
          <w:rFonts w:ascii="宋体" w:eastAsia="宋体" w:hAnsi="宋体" w:cs="宋体"/>
        </w:rPr>
        <w:t xml:space="preserve"> deviation score and target gene expression </w:t>
      </w:r>
      <w:r w:rsidRPr="00B85560">
        <w:rPr>
          <w:rFonts w:ascii="宋体" w:eastAsia="宋体" w:hAnsi="宋体" w:cs="宋体"/>
          <w:color w:val="EE0000"/>
        </w:rPr>
        <w:t>(</w:t>
      </w:r>
      <w:proofErr w:type="spellStart"/>
      <w:r w:rsidR="00B85560" w:rsidRPr="00B85560">
        <w:rPr>
          <w:rFonts w:ascii="宋体" w:eastAsia="宋体" w:hAnsi="宋体" w:cs="宋体"/>
          <w:color w:val="EE0000"/>
        </w:rPr>
        <w:t>min_tf_activity_target_cor</w:t>
      </w:r>
      <w:proofErr w:type="spellEnd"/>
      <w:r w:rsidRPr="00B85560">
        <w:rPr>
          <w:rFonts w:ascii="宋体" w:eastAsia="宋体" w:hAnsi="宋体" w:cs="宋体"/>
          <w:color w:val="EE0000"/>
        </w:rPr>
        <w:t>)</w:t>
      </w:r>
      <w:r w:rsidRPr="00064C5C">
        <w:rPr>
          <w:rFonts w:ascii="宋体" w:eastAsia="宋体" w:hAnsi="宋体" w:cs="宋体"/>
        </w:rPr>
        <w:t xml:space="preserve">; and (iv) motif binding affinity score at the Peak site. All three correlations were assessed with Benjamini-Hochberg correction (q &lt; 0.05). A composite Linkage Score </w:t>
      </w:r>
      <w:r w:rsidR="0013318D" w:rsidRPr="00B85560">
        <w:rPr>
          <w:rFonts w:ascii="宋体" w:eastAsia="宋体" w:hAnsi="宋体" w:cs="宋体"/>
        </w:rPr>
        <w:t>[</w:t>
      </w:r>
      <w:r w:rsidR="0013318D">
        <w:rPr>
          <w:rFonts w:ascii="宋体" w:eastAsia="宋体" w:hAnsi="宋体" w:cs="宋体" w:hint="eastAsia"/>
        </w:rPr>
        <w:t>2</w:t>
      </w:r>
      <w:r w:rsidR="0013318D" w:rsidRPr="00B85560">
        <w:rPr>
          <w:rFonts w:ascii="宋体" w:eastAsia="宋体" w:hAnsi="宋体" w:cs="宋体"/>
        </w:rPr>
        <w:t>]</w:t>
      </w:r>
      <w:r w:rsidR="0013318D">
        <w:rPr>
          <w:rFonts w:ascii="宋体" w:eastAsia="宋体" w:hAnsi="宋体" w:cs="宋体" w:hint="eastAsia"/>
        </w:rPr>
        <w:t xml:space="preserve"> </w:t>
      </w:r>
      <w:r w:rsidRPr="00064C5C">
        <w:rPr>
          <w:rFonts w:ascii="宋体" w:eastAsia="宋体" w:hAnsi="宋体" w:cs="宋体"/>
        </w:rPr>
        <w:t>was computed for each TF–Gene pair by summing the product of the squared Peak-to-Gene correlation coefficient (R²) and the motif binding score across all associated Peaks, quantifying the cumulative multi-site regulatory evidence. High-confidence trios were retained only when all four criteria were simultaneously satisfied: motif score above threshold, all three correlations significant with absolute values above threshold, and Linkage Score exceeding the 90th percentile of the genome-wide distribution.</w:t>
      </w:r>
    </w:p>
    <w:p w14:paraId="30AE0EDA" w14:textId="77777777" w:rsidR="00064C5C" w:rsidRPr="00064C5C" w:rsidRDefault="00064C5C" w:rsidP="00064C5C">
      <w:pPr>
        <w:pStyle w:val="a3"/>
        <w:spacing w:after="0"/>
        <w:rPr>
          <w:rFonts w:ascii="宋体" w:eastAsia="宋体" w:hAnsi="宋体" w:cs="宋体"/>
        </w:rPr>
      </w:pPr>
    </w:p>
    <w:p w14:paraId="207CA0E2" w14:textId="77777777" w:rsidR="00064C5C" w:rsidRPr="00064C5C" w:rsidRDefault="00064C5C" w:rsidP="00064C5C">
      <w:pPr>
        <w:pStyle w:val="a3"/>
        <w:spacing w:after="0"/>
        <w:rPr>
          <w:rFonts w:ascii="宋体" w:eastAsia="宋体" w:hAnsi="宋体" w:cs="宋体"/>
        </w:rPr>
      </w:pPr>
      <w:r w:rsidRPr="00064C5C">
        <w:rPr>
          <w:rFonts w:ascii="宋体" w:eastAsia="宋体" w:hAnsi="宋体" w:cs="宋体"/>
        </w:rPr>
        <w:t>References</w:t>
      </w:r>
    </w:p>
    <w:p w14:paraId="643571D9" w14:textId="77777777" w:rsidR="00B85560" w:rsidRDefault="00B85560" w:rsidP="00064C5C">
      <w:pPr>
        <w:pStyle w:val="a3"/>
        <w:spacing w:after="0"/>
        <w:rPr>
          <w:rFonts w:ascii="宋体" w:eastAsia="宋体" w:hAnsi="宋体" w:cs="宋体"/>
        </w:rPr>
      </w:pPr>
      <w:r w:rsidRPr="00B85560">
        <w:rPr>
          <w:rFonts w:ascii="宋体" w:eastAsia="宋体" w:hAnsi="宋体" w:cs="宋体"/>
        </w:rPr>
        <w:t xml:space="preserve">[1] Anderson A </w:t>
      </w:r>
      <w:proofErr w:type="gramStart"/>
      <w:r w:rsidRPr="00B85560">
        <w:rPr>
          <w:rFonts w:ascii="宋体" w:eastAsia="宋体" w:hAnsi="宋体" w:cs="宋体"/>
        </w:rPr>
        <w:t>G ,</w:t>
      </w:r>
      <w:proofErr w:type="gramEnd"/>
      <w:r w:rsidRPr="00B85560">
        <w:rPr>
          <w:rFonts w:ascii="宋体" w:eastAsia="宋体" w:hAnsi="宋体" w:cs="宋体"/>
        </w:rPr>
        <w:t xml:space="preserve"> Rogers B </w:t>
      </w:r>
      <w:proofErr w:type="spellStart"/>
      <w:proofErr w:type="gramStart"/>
      <w:r w:rsidRPr="00B85560">
        <w:rPr>
          <w:rFonts w:ascii="宋体" w:eastAsia="宋体" w:hAnsi="宋体" w:cs="宋体"/>
        </w:rPr>
        <w:t>B</w:t>
      </w:r>
      <w:proofErr w:type="spellEnd"/>
      <w:r w:rsidRPr="00B85560">
        <w:rPr>
          <w:rFonts w:ascii="宋体" w:eastAsia="宋体" w:hAnsi="宋体" w:cs="宋体"/>
        </w:rPr>
        <w:t xml:space="preserve"> ,</w:t>
      </w:r>
      <w:proofErr w:type="gramEnd"/>
      <w:r w:rsidRPr="00B85560">
        <w:rPr>
          <w:rFonts w:ascii="宋体" w:eastAsia="宋体" w:hAnsi="宋体" w:cs="宋体"/>
        </w:rPr>
        <w:t xml:space="preserve"> Loupe J </w:t>
      </w:r>
      <w:proofErr w:type="gramStart"/>
      <w:r w:rsidRPr="00B85560">
        <w:rPr>
          <w:rFonts w:ascii="宋体" w:eastAsia="宋体" w:hAnsi="宋体" w:cs="宋体"/>
        </w:rPr>
        <w:t>M ,et</w:t>
      </w:r>
      <w:proofErr w:type="gramEnd"/>
      <w:r w:rsidRPr="00B85560">
        <w:rPr>
          <w:rFonts w:ascii="宋体" w:eastAsia="宋体" w:hAnsi="宋体" w:cs="宋体"/>
        </w:rPr>
        <w:t xml:space="preserve"> </w:t>
      </w:r>
      <w:proofErr w:type="spellStart"/>
      <w:proofErr w:type="gramStart"/>
      <w:r w:rsidRPr="00B85560">
        <w:rPr>
          <w:rFonts w:ascii="宋体" w:eastAsia="宋体" w:hAnsi="宋体" w:cs="宋体"/>
        </w:rPr>
        <w:t>al.Single</w:t>
      </w:r>
      <w:proofErr w:type="spellEnd"/>
      <w:proofErr w:type="gramEnd"/>
      <w:r w:rsidRPr="00B85560">
        <w:rPr>
          <w:rFonts w:ascii="宋体" w:eastAsia="宋体" w:hAnsi="宋体" w:cs="宋体"/>
        </w:rPr>
        <w:t xml:space="preserve"> nucleus </w:t>
      </w:r>
      <w:proofErr w:type="spellStart"/>
      <w:r w:rsidRPr="00B85560">
        <w:rPr>
          <w:rFonts w:ascii="宋体" w:eastAsia="宋体" w:hAnsi="宋体" w:cs="宋体"/>
        </w:rPr>
        <w:t>multiomics</w:t>
      </w:r>
      <w:proofErr w:type="spellEnd"/>
      <w:r w:rsidRPr="00B85560">
        <w:rPr>
          <w:rFonts w:ascii="宋体" w:eastAsia="宋体" w:hAnsi="宋体" w:cs="宋体"/>
        </w:rPr>
        <w:t xml:space="preserve"> identifies ZEB1 and MAFB as candidate regulators of Alzheimer's disease-specific cis-regulatory elements[J</w:t>
      </w:r>
      <w:proofErr w:type="gramStart"/>
      <w:r w:rsidRPr="00B85560">
        <w:rPr>
          <w:rFonts w:ascii="宋体" w:eastAsia="宋体" w:hAnsi="宋体" w:cs="宋体"/>
        </w:rPr>
        <w:t>].Cell</w:t>
      </w:r>
      <w:proofErr w:type="gramEnd"/>
      <w:r w:rsidRPr="00B85560">
        <w:rPr>
          <w:rFonts w:ascii="宋体" w:eastAsia="宋体" w:hAnsi="宋体" w:cs="宋体"/>
        </w:rPr>
        <w:t xml:space="preserve"> genomics, 3(3):100263[2026-07-10</w:t>
      </w:r>
      <w:proofErr w:type="gramStart"/>
      <w:r w:rsidRPr="00B85560">
        <w:rPr>
          <w:rFonts w:ascii="宋体" w:eastAsia="宋体" w:hAnsi="宋体" w:cs="宋体"/>
        </w:rPr>
        <w:t>].DOI</w:t>
      </w:r>
      <w:proofErr w:type="gramEnd"/>
      <w:r w:rsidRPr="00B85560">
        <w:rPr>
          <w:rFonts w:ascii="宋体" w:eastAsia="宋体" w:hAnsi="宋体" w:cs="宋体"/>
        </w:rPr>
        <w:t>:10.1016/j.xgen.2023.100263.</w:t>
      </w:r>
      <w:r w:rsidRPr="00B85560">
        <w:rPr>
          <w:rFonts w:ascii="宋体" w:eastAsia="宋体" w:hAnsi="宋体" w:cs="宋体"/>
        </w:rPr>
        <w:t xml:space="preserve"> </w:t>
      </w:r>
    </w:p>
    <w:p w14:paraId="286B71FC" w14:textId="77777777" w:rsidR="00B85560" w:rsidRDefault="00B85560" w:rsidP="00064C5C">
      <w:pPr>
        <w:pStyle w:val="a3"/>
        <w:spacing w:after="0"/>
        <w:rPr>
          <w:rFonts w:ascii="宋体" w:eastAsia="宋体" w:hAnsi="宋体" w:cs="宋体"/>
        </w:rPr>
      </w:pPr>
    </w:p>
    <w:p w14:paraId="0766BA98" w14:textId="64504251" w:rsidR="00064C5C" w:rsidRPr="00064C5C" w:rsidRDefault="00B85560" w:rsidP="00B85560">
      <w:pPr>
        <w:pStyle w:val="a3"/>
        <w:spacing w:after="0"/>
        <w:rPr>
          <w:rFonts w:ascii="宋体" w:eastAsia="宋体" w:hAnsi="宋体" w:cs="宋体"/>
        </w:rPr>
      </w:pPr>
      <w:r w:rsidRPr="00B85560">
        <w:rPr>
          <w:rFonts w:ascii="宋体" w:eastAsia="宋体" w:hAnsi="宋体" w:cs="宋体"/>
        </w:rPr>
        <w:t>[</w:t>
      </w:r>
      <w:r>
        <w:rPr>
          <w:rFonts w:ascii="宋体" w:eastAsia="宋体" w:hAnsi="宋体" w:cs="宋体" w:hint="eastAsia"/>
        </w:rPr>
        <w:t>2</w:t>
      </w:r>
      <w:r w:rsidRPr="00B85560">
        <w:rPr>
          <w:rFonts w:ascii="宋体" w:eastAsia="宋体" w:hAnsi="宋体" w:cs="宋体"/>
        </w:rPr>
        <w:t xml:space="preserve">] Ober-Reynolds </w:t>
      </w:r>
      <w:proofErr w:type="gramStart"/>
      <w:r w:rsidRPr="00B85560">
        <w:rPr>
          <w:rFonts w:ascii="宋体" w:eastAsia="宋体" w:hAnsi="宋体" w:cs="宋体"/>
        </w:rPr>
        <w:t>B ,</w:t>
      </w:r>
      <w:proofErr w:type="gramEnd"/>
      <w:r w:rsidRPr="00B85560">
        <w:rPr>
          <w:rFonts w:ascii="宋体" w:eastAsia="宋体" w:hAnsi="宋体" w:cs="宋体"/>
        </w:rPr>
        <w:t xml:space="preserve"> Wang </w:t>
      </w:r>
      <w:proofErr w:type="gramStart"/>
      <w:r w:rsidRPr="00B85560">
        <w:rPr>
          <w:rFonts w:ascii="宋体" w:eastAsia="宋体" w:hAnsi="宋体" w:cs="宋体"/>
        </w:rPr>
        <w:t>C ,</w:t>
      </w:r>
      <w:proofErr w:type="gramEnd"/>
      <w:r w:rsidRPr="00B85560">
        <w:rPr>
          <w:rFonts w:ascii="宋体" w:eastAsia="宋体" w:hAnsi="宋体" w:cs="宋体"/>
        </w:rPr>
        <w:t xml:space="preserve"> Ko </w:t>
      </w:r>
      <w:proofErr w:type="gramStart"/>
      <w:r w:rsidRPr="00B85560">
        <w:rPr>
          <w:rFonts w:ascii="宋体" w:eastAsia="宋体" w:hAnsi="宋体" w:cs="宋体"/>
        </w:rPr>
        <w:t>J ,et</w:t>
      </w:r>
      <w:proofErr w:type="gramEnd"/>
      <w:r w:rsidRPr="00B85560">
        <w:rPr>
          <w:rFonts w:ascii="宋体" w:eastAsia="宋体" w:hAnsi="宋体" w:cs="宋体"/>
        </w:rPr>
        <w:t xml:space="preserve"> </w:t>
      </w:r>
      <w:proofErr w:type="spellStart"/>
      <w:proofErr w:type="gramStart"/>
      <w:r w:rsidRPr="00B85560">
        <w:rPr>
          <w:rFonts w:ascii="宋体" w:eastAsia="宋体" w:hAnsi="宋体" w:cs="宋体"/>
        </w:rPr>
        <w:t>al.Integrated</w:t>
      </w:r>
      <w:proofErr w:type="spellEnd"/>
      <w:proofErr w:type="gramEnd"/>
      <w:r w:rsidRPr="00B85560">
        <w:rPr>
          <w:rFonts w:ascii="宋体" w:eastAsia="宋体" w:hAnsi="宋体" w:cs="宋体"/>
        </w:rPr>
        <w:t xml:space="preserve"> single-cell </w:t>
      </w:r>
      <w:r w:rsidRPr="00B85560">
        <w:rPr>
          <w:rFonts w:ascii="宋体" w:eastAsia="宋体" w:hAnsi="宋体" w:cs="宋体"/>
        </w:rPr>
        <w:lastRenderedPageBreak/>
        <w:t xml:space="preserve">chromatin and transcriptomic analyses of human scalp identify gene-regulatory programs and critical cell types for hair and skin </w:t>
      </w:r>
      <w:proofErr w:type="gramStart"/>
      <w:r w:rsidRPr="00B85560">
        <w:rPr>
          <w:rFonts w:ascii="宋体" w:eastAsia="宋体" w:hAnsi="宋体" w:cs="宋体"/>
        </w:rPr>
        <w:t>diseases.[</w:t>
      </w:r>
      <w:proofErr w:type="gramEnd"/>
      <w:r w:rsidRPr="00B85560">
        <w:rPr>
          <w:rFonts w:ascii="宋体" w:eastAsia="宋体" w:hAnsi="宋体" w:cs="宋体"/>
        </w:rPr>
        <w:t>J</w:t>
      </w:r>
      <w:proofErr w:type="gramStart"/>
      <w:r w:rsidRPr="00B85560">
        <w:rPr>
          <w:rFonts w:ascii="宋体" w:eastAsia="宋体" w:hAnsi="宋体" w:cs="宋体"/>
        </w:rPr>
        <w:t>].Nature</w:t>
      </w:r>
      <w:proofErr w:type="gramEnd"/>
      <w:r w:rsidRPr="00B85560">
        <w:rPr>
          <w:rFonts w:ascii="宋体" w:eastAsia="宋体" w:hAnsi="宋体" w:cs="宋体"/>
        </w:rPr>
        <w:t xml:space="preserve"> genetics, 2023.DOI:10.1038/s41588-023-01445-4.</w:t>
      </w:r>
    </w:p>
    <w:p w14:paraId="0B111ED5" w14:textId="77777777" w:rsidR="00064C5C" w:rsidRPr="00064C5C" w:rsidRDefault="00064C5C" w:rsidP="00064C5C">
      <w:pPr>
        <w:pStyle w:val="a3"/>
        <w:spacing w:after="0"/>
        <w:rPr>
          <w:rFonts w:ascii="宋体" w:eastAsia="宋体" w:hAnsi="宋体" w:cs="宋体"/>
        </w:rPr>
      </w:pPr>
    </w:p>
    <w:sectPr w:rsidR="00064C5C" w:rsidRPr="00064C5C" w:rsidSect="00064C5C">
      <w:pgSz w:w="11906" w:h="16838"/>
      <w:pgMar w:top="1440" w:right="2077" w:bottom="1440" w:left="2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51055" w14:textId="77777777" w:rsidR="00634BEE" w:rsidRDefault="00634BEE" w:rsidP="00B8556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24C058B" w14:textId="77777777" w:rsidR="00634BEE" w:rsidRDefault="00634BEE" w:rsidP="00B8556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7DC0A" w14:textId="77777777" w:rsidR="00634BEE" w:rsidRDefault="00634BEE" w:rsidP="00B8556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A9DE260" w14:textId="77777777" w:rsidR="00634BEE" w:rsidRDefault="00634BEE" w:rsidP="00B8556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C5C"/>
    <w:rsid w:val="00064C5C"/>
    <w:rsid w:val="0013318D"/>
    <w:rsid w:val="003F66F5"/>
    <w:rsid w:val="00551CEA"/>
    <w:rsid w:val="00634BEE"/>
    <w:rsid w:val="00B8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EB050E"/>
  <w15:chartTrackingRefBased/>
  <w15:docId w15:val="{AD225ED3-4CE1-48FD-AB2C-D9536D58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D95C5C"/>
    <w:rPr>
      <w:rFonts w:asciiTheme="minorEastAsia" w:hAnsi="Courier New" w:cs="Courier New"/>
    </w:rPr>
  </w:style>
  <w:style w:type="character" w:customStyle="1" w:styleId="a4">
    <w:name w:val="纯文本 字符"/>
    <w:basedOn w:val="a0"/>
    <w:link w:val="a3"/>
    <w:uiPriority w:val="99"/>
    <w:rsid w:val="00D95C5C"/>
    <w:rPr>
      <w:rFonts w:asciiTheme="minorEastAsia" w:hAnsi="Courier New" w:cs="Courier New"/>
    </w:rPr>
  </w:style>
  <w:style w:type="paragraph" w:styleId="a5">
    <w:name w:val="header"/>
    <w:basedOn w:val="a"/>
    <w:link w:val="a6"/>
    <w:uiPriority w:val="99"/>
    <w:unhideWhenUsed/>
    <w:rsid w:val="00B8556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8556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8556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855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1844</Characters>
  <Application>Microsoft Office Word</Application>
  <DocSecurity>0</DocSecurity>
  <Lines>35</Lines>
  <Paragraphs>5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一君</dc:creator>
  <cp:keywords/>
  <dc:description/>
  <cp:lastModifiedBy>郭 一君</cp:lastModifiedBy>
  <cp:revision>2</cp:revision>
  <dcterms:created xsi:type="dcterms:W3CDTF">2026-07-10T07:27:00Z</dcterms:created>
  <dcterms:modified xsi:type="dcterms:W3CDTF">2026-07-10T07:27:00Z</dcterms:modified>
</cp:coreProperties>
</file>